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FB4B0" w14:textId="4F092C49" w:rsidR="004873FE" w:rsidRDefault="004873FE" w:rsidP="00C05D98">
      <w:pPr>
        <w:spacing w:after="120" w:line="240" w:lineRule="auto"/>
        <w:jc w:val="both"/>
      </w:pP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58"/>
        <w:gridCol w:w="2277"/>
      </w:tblGrid>
      <w:tr w:rsidR="00C05D98" w:rsidRPr="004873FE" w14:paraId="2D403877" w14:textId="77777777" w:rsidTr="00D302D4">
        <w:trPr>
          <w:trHeight w:val="340"/>
          <w:jc w:val="center"/>
        </w:trPr>
        <w:tc>
          <w:tcPr>
            <w:tcW w:w="2268" w:type="dxa"/>
            <w:vMerge w:val="restart"/>
            <w:shd w:val="clear" w:color="auto" w:fill="ECF1F8"/>
            <w:vAlign w:val="center"/>
          </w:tcPr>
          <w:p w14:paraId="01645015" w14:textId="77777777" w:rsidR="00C05D98" w:rsidRPr="004873FE" w:rsidRDefault="00C05D98" w:rsidP="00D302D4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  <w:lang w:val="fr-FR"/>
              </w:rPr>
            </w:pPr>
            <w:r w:rsidRPr="004873FE">
              <w:rPr>
                <w:rFonts w:ascii="Verdana" w:eastAsia="Arial" w:hAnsi="Verdana"/>
                <w:sz w:val="18"/>
                <w:lang w:val="fr-FR"/>
              </w:rPr>
              <w:t>Logo</w:t>
            </w:r>
          </w:p>
          <w:p w14:paraId="0060F300" w14:textId="77777777" w:rsidR="00C05D98" w:rsidRPr="004873FE" w:rsidRDefault="00C05D98" w:rsidP="00D302D4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  <w:lang w:val="fr-FR"/>
              </w:rPr>
            </w:pPr>
            <w:r w:rsidRPr="004873FE">
              <w:rPr>
                <w:rFonts w:ascii="Verdana" w:eastAsia="Arial" w:hAnsi="Verdana"/>
                <w:sz w:val="18"/>
                <w:lang w:val="fr-FR"/>
              </w:rPr>
              <w:t>ou</w:t>
            </w:r>
          </w:p>
          <w:p w14:paraId="2256F16A" w14:textId="77777777" w:rsidR="00C05D98" w:rsidRPr="004873FE" w:rsidRDefault="00C05D98" w:rsidP="00D302D4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  <w:lang w:val="fr-FR"/>
              </w:rPr>
            </w:pPr>
            <w:r w:rsidRPr="004873FE">
              <w:rPr>
                <w:rFonts w:ascii="Verdana" w:eastAsia="Arial" w:hAnsi="Verdana"/>
                <w:sz w:val="18"/>
                <w:lang w:val="fr-FR"/>
              </w:rPr>
              <w:t>Nom Etablissement</w:t>
            </w:r>
          </w:p>
        </w:tc>
        <w:tc>
          <w:tcPr>
            <w:tcW w:w="5658" w:type="dxa"/>
            <w:vMerge w:val="restart"/>
            <w:shd w:val="clear" w:color="auto" w:fill="ECF1F8"/>
            <w:vAlign w:val="center"/>
          </w:tcPr>
          <w:p w14:paraId="7C782723" w14:textId="77777777" w:rsidR="00C05D98" w:rsidRPr="004873FE" w:rsidRDefault="00C05D98" w:rsidP="00D302D4">
            <w:pPr>
              <w:spacing w:after="0"/>
              <w:jc w:val="center"/>
              <w:rPr>
                <w:rFonts w:ascii="Verdana" w:hAnsi="Verdana"/>
                <w:b/>
                <w:sz w:val="24"/>
                <w:lang w:val="fr-FR"/>
              </w:rPr>
            </w:pPr>
            <w:r w:rsidRPr="004873FE">
              <w:rPr>
                <w:rFonts w:ascii="Verdana" w:hAnsi="Verdana"/>
                <w:b/>
                <w:sz w:val="24"/>
                <w:szCs w:val="20"/>
                <w:lang w:val="fr-FR"/>
              </w:rPr>
              <w:t>Vaccination des résidents d’EHPAD</w:t>
            </w:r>
          </w:p>
        </w:tc>
        <w:tc>
          <w:tcPr>
            <w:tcW w:w="2277" w:type="dxa"/>
            <w:shd w:val="clear" w:color="auto" w:fill="ECF1F8"/>
            <w:vAlign w:val="center"/>
          </w:tcPr>
          <w:p w14:paraId="288263ED" w14:textId="77777777" w:rsidR="00C05D98" w:rsidRPr="004873FE" w:rsidRDefault="00C05D98" w:rsidP="00D302D4">
            <w:pPr>
              <w:jc w:val="center"/>
              <w:rPr>
                <w:rFonts w:ascii="Verdana" w:hAnsi="Verdana"/>
                <w:sz w:val="18"/>
                <w:lang w:val="fr-FR"/>
              </w:rPr>
            </w:pPr>
            <w:r w:rsidRPr="004873FE">
              <w:rPr>
                <w:rFonts w:ascii="Verdana" w:hAnsi="Verdana"/>
                <w:sz w:val="18"/>
                <w:lang w:val="fr-FR"/>
              </w:rPr>
              <w:t>Référence</w:t>
            </w:r>
          </w:p>
        </w:tc>
      </w:tr>
      <w:tr w:rsidR="00C05D98" w:rsidRPr="004873FE" w14:paraId="3346866B" w14:textId="77777777" w:rsidTr="00D302D4">
        <w:trPr>
          <w:trHeight w:val="347"/>
          <w:jc w:val="center"/>
        </w:trPr>
        <w:tc>
          <w:tcPr>
            <w:tcW w:w="2268" w:type="dxa"/>
            <w:vMerge/>
            <w:shd w:val="clear" w:color="auto" w:fill="ECF1F8"/>
            <w:vAlign w:val="center"/>
          </w:tcPr>
          <w:p w14:paraId="13C2FE02" w14:textId="77777777" w:rsidR="00C05D98" w:rsidRPr="004873FE" w:rsidRDefault="00C05D98" w:rsidP="00D302D4">
            <w:pPr>
              <w:rPr>
                <w:rFonts w:ascii="Verdana" w:eastAsia="Arial" w:hAnsi="Verdana"/>
                <w:sz w:val="26"/>
                <w:lang w:val="fr-FR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14:paraId="3A973EDC" w14:textId="77777777" w:rsidR="00C05D98" w:rsidRPr="004873FE" w:rsidRDefault="00C05D98" w:rsidP="00D302D4">
            <w:pPr>
              <w:rPr>
                <w:rFonts w:ascii="Verdana" w:eastAsia="Arial" w:hAnsi="Verdana"/>
                <w:sz w:val="26"/>
                <w:lang w:val="fr-FR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5753573C" w14:textId="77777777" w:rsidR="00C05D98" w:rsidRPr="004873FE" w:rsidRDefault="00C05D98" w:rsidP="00D302D4">
            <w:pPr>
              <w:rPr>
                <w:rFonts w:ascii="Verdana" w:hAnsi="Verdana"/>
                <w:sz w:val="18"/>
                <w:lang w:val="fr-FR"/>
              </w:rPr>
            </w:pPr>
            <w:r w:rsidRPr="004873FE">
              <w:rPr>
                <w:rFonts w:ascii="Verdana" w:hAnsi="Verdana"/>
                <w:sz w:val="18"/>
                <w:lang w:val="fr-FR"/>
              </w:rPr>
              <w:t xml:space="preserve">Date : </w:t>
            </w:r>
          </w:p>
        </w:tc>
      </w:tr>
      <w:tr w:rsidR="00C05D98" w:rsidRPr="004873FE" w14:paraId="18B59431" w14:textId="77777777" w:rsidTr="00D302D4">
        <w:trPr>
          <w:trHeight w:val="165"/>
          <w:jc w:val="center"/>
        </w:trPr>
        <w:tc>
          <w:tcPr>
            <w:tcW w:w="2268" w:type="dxa"/>
            <w:vMerge/>
            <w:shd w:val="clear" w:color="auto" w:fill="ECF1F8"/>
            <w:vAlign w:val="center"/>
          </w:tcPr>
          <w:p w14:paraId="339F86BF" w14:textId="77777777" w:rsidR="00C05D98" w:rsidRPr="004873FE" w:rsidRDefault="00C05D98" w:rsidP="00D302D4">
            <w:pPr>
              <w:rPr>
                <w:rFonts w:ascii="Verdana" w:eastAsia="Arial" w:hAnsi="Verdana"/>
                <w:sz w:val="26"/>
                <w:lang w:val="fr-FR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14:paraId="0A0118FE" w14:textId="77777777" w:rsidR="00C05D98" w:rsidRPr="004873FE" w:rsidRDefault="00C05D98" w:rsidP="00D302D4">
            <w:pPr>
              <w:rPr>
                <w:rFonts w:ascii="Verdana" w:eastAsia="Arial" w:hAnsi="Verdana"/>
                <w:sz w:val="26"/>
                <w:lang w:val="fr-FR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67288650" w14:textId="77777777" w:rsidR="00C05D98" w:rsidRPr="004873FE" w:rsidRDefault="00C05D98" w:rsidP="00D302D4">
            <w:pPr>
              <w:rPr>
                <w:rFonts w:ascii="Verdana" w:hAnsi="Verdana"/>
                <w:sz w:val="18"/>
                <w:lang w:val="fr-FR"/>
              </w:rPr>
            </w:pPr>
            <w:r w:rsidRPr="004873FE">
              <w:rPr>
                <w:rFonts w:ascii="Verdana" w:hAnsi="Verdana"/>
                <w:sz w:val="18"/>
                <w:lang w:val="fr-FR"/>
              </w:rPr>
              <w:t xml:space="preserve">Version : </w:t>
            </w:r>
          </w:p>
        </w:tc>
      </w:tr>
    </w:tbl>
    <w:p w14:paraId="2DF4C709" w14:textId="228467EF" w:rsidR="00C05D98" w:rsidRDefault="00C05D98" w:rsidP="00C05D98">
      <w:pPr>
        <w:spacing w:after="120" w:line="240" w:lineRule="auto"/>
        <w:ind w:left="283" w:hanging="357"/>
        <w:jc w:val="both"/>
      </w:pPr>
    </w:p>
    <w:p w14:paraId="24A39802" w14:textId="77777777" w:rsidR="005A7457" w:rsidRPr="005A7457" w:rsidRDefault="005A7457" w:rsidP="00C05D98">
      <w:pPr>
        <w:numPr>
          <w:ilvl w:val="0"/>
          <w:numId w:val="14"/>
        </w:numPr>
        <w:spacing w:after="120" w:line="240" w:lineRule="auto"/>
        <w:ind w:left="-426" w:firstLine="0"/>
        <w:jc w:val="both"/>
        <w:rPr>
          <w:rFonts w:ascii="Verdana" w:eastAsia="Calibri" w:hAnsi="Verdana" w:cs="Times New Roman"/>
          <w:b/>
          <w:bCs/>
          <w:color w:val="000099"/>
          <w:sz w:val="20"/>
          <w:lang w:val="fr-FR"/>
        </w:rPr>
      </w:pPr>
      <w:r w:rsidRPr="005A7457">
        <w:rPr>
          <w:rFonts w:ascii="Verdana" w:eastAsia="Calibri" w:hAnsi="Verdana" w:cs="Times New Roman"/>
          <w:b/>
          <w:bCs/>
          <w:color w:val="000099"/>
          <w:sz w:val="20"/>
          <w:lang w:val="fr-FR"/>
        </w:rPr>
        <w:t>Objet </w:t>
      </w:r>
    </w:p>
    <w:p w14:paraId="330B56ED" w14:textId="77777777" w:rsidR="005A7457" w:rsidRDefault="005A7457" w:rsidP="00C05D98">
      <w:pPr>
        <w:spacing w:after="0"/>
        <w:jc w:val="both"/>
        <w:rPr>
          <w:rFonts w:ascii="Verdana" w:hAnsi="Verdana"/>
          <w:sz w:val="20"/>
          <w:szCs w:val="20"/>
          <w:lang w:val="fr-FR"/>
        </w:rPr>
      </w:pPr>
      <w:r w:rsidRPr="005A7457">
        <w:rPr>
          <w:rFonts w:ascii="Verdana" w:hAnsi="Verdana"/>
          <w:sz w:val="20"/>
          <w:szCs w:val="20"/>
          <w:lang w:val="fr-FR"/>
        </w:rPr>
        <w:t>Rappel des vaccinations recommandées pour les résidents âgés de plus de 65 ans.</w:t>
      </w:r>
    </w:p>
    <w:p w14:paraId="55127F8A" w14:textId="20C2357A" w:rsidR="005A7457" w:rsidRDefault="005A7457" w:rsidP="00C05D98">
      <w:pPr>
        <w:spacing w:after="0"/>
        <w:jc w:val="both"/>
        <w:rPr>
          <w:rFonts w:ascii="Verdana" w:hAnsi="Verdana"/>
          <w:b/>
          <w:color w:val="E36C0A" w:themeColor="accent6" w:themeShade="BF"/>
          <w:sz w:val="20"/>
          <w:szCs w:val="20"/>
          <w:lang w:val="fr-FR"/>
        </w:rPr>
      </w:pPr>
      <w:r w:rsidRPr="005A7457">
        <w:rPr>
          <w:rFonts w:ascii="Verdana" w:hAnsi="Verdana"/>
          <w:b/>
          <w:color w:val="E36C0A" w:themeColor="accent6" w:themeShade="BF"/>
          <w:sz w:val="20"/>
          <w:szCs w:val="20"/>
          <w:lang w:val="fr-FR"/>
        </w:rPr>
        <w:t>Cette procédure est amenée à évoluer en fonction du calendrier vaccinal et de la mise sur le marché de nouveaux vaccins</w:t>
      </w:r>
      <w:r w:rsidR="00C05D98">
        <w:rPr>
          <w:rFonts w:ascii="Verdana" w:hAnsi="Verdana"/>
          <w:b/>
          <w:color w:val="E36C0A" w:themeColor="accent6" w:themeShade="BF"/>
          <w:sz w:val="20"/>
          <w:szCs w:val="20"/>
          <w:lang w:val="fr-FR"/>
        </w:rPr>
        <w:t>.</w:t>
      </w:r>
    </w:p>
    <w:p w14:paraId="41B3A8E0" w14:textId="77777777" w:rsidR="00876807" w:rsidRPr="00876807" w:rsidRDefault="00876807" w:rsidP="00C05D98">
      <w:pPr>
        <w:numPr>
          <w:ilvl w:val="0"/>
          <w:numId w:val="14"/>
        </w:numPr>
        <w:spacing w:before="240" w:after="120" w:line="240" w:lineRule="auto"/>
        <w:ind w:left="-426" w:firstLine="0"/>
        <w:jc w:val="both"/>
        <w:rPr>
          <w:rFonts w:ascii="Verdana" w:eastAsia="Calibri" w:hAnsi="Verdana" w:cs="Times New Roman"/>
          <w:b/>
          <w:bCs/>
          <w:color w:val="000099"/>
          <w:sz w:val="20"/>
          <w:lang w:val="fr-FR"/>
        </w:rPr>
      </w:pPr>
      <w:r w:rsidRPr="00876807">
        <w:rPr>
          <w:rFonts w:ascii="Verdana" w:eastAsia="Calibri" w:hAnsi="Verdana" w:cs="Times New Roman"/>
          <w:b/>
          <w:bCs/>
          <w:color w:val="000099"/>
          <w:sz w:val="20"/>
          <w:lang w:val="fr-FR"/>
        </w:rPr>
        <w:t>Définitions</w:t>
      </w:r>
    </w:p>
    <w:p w14:paraId="246267C1" w14:textId="558A5F90" w:rsidR="00876807" w:rsidRDefault="00876807" w:rsidP="00C05D98">
      <w:pPr>
        <w:pStyle w:val="Paragraphedeliste"/>
        <w:numPr>
          <w:ilvl w:val="0"/>
          <w:numId w:val="18"/>
        </w:numPr>
        <w:spacing w:after="6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876807">
        <w:rPr>
          <w:rFonts w:ascii="Verdana" w:hAnsi="Verdana"/>
          <w:sz w:val="20"/>
          <w:szCs w:val="20"/>
          <w:lang w:val="fr-FR"/>
        </w:rPr>
        <w:t xml:space="preserve">Stratégie de cocooning : consiste à vacciner toute </w:t>
      </w:r>
      <w:r w:rsidRPr="000048AA">
        <w:rPr>
          <w:rFonts w:ascii="Verdana" w:hAnsi="Verdana"/>
          <w:sz w:val="20"/>
          <w:szCs w:val="20"/>
          <w:lang w:val="fr-FR"/>
        </w:rPr>
        <w:t>personne</w:t>
      </w:r>
      <w:r w:rsidRPr="00876807">
        <w:rPr>
          <w:rFonts w:ascii="Verdana" w:hAnsi="Verdana"/>
          <w:b/>
          <w:sz w:val="20"/>
          <w:szCs w:val="20"/>
          <w:lang w:val="fr-FR"/>
        </w:rPr>
        <w:t xml:space="preserve"> </w:t>
      </w:r>
      <w:r w:rsidRPr="00876807">
        <w:rPr>
          <w:rFonts w:ascii="Verdana" w:hAnsi="Verdana"/>
          <w:sz w:val="20"/>
          <w:szCs w:val="20"/>
          <w:lang w:val="fr-FR"/>
        </w:rPr>
        <w:t>susceptible d’être en contact étroit et durable avec un nourrisson au cours des 6 premiers mois. Ceci peut concerner les grands-parents</w:t>
      </w:r>
      <w:r w:rsidR="00C05D98">
        <w:rPr>
          <w:rFonts w:ascii="Verdana" w:hAnsi="Verdana"/>
          <w:sz w:val="20"/>
          <w:szCs w:val="20"/>
          <w:lang w:val="fr-FR"/>
        </w:rPr>
        <w:t>.</w:t>
      </w:r>
    </w:p>
    <w:p w14:paraId="6E330A70" w14:textId="3880F3C6" w:rsidR="00876807" w:rsidRDefault="00876807" w:rsidP="00C05D98">
      <w:pPr>
        <w:pStyle w:val="Paragraphedeliste"/>
        <w:numPr>
          <w:ilvl w:val="0"/>
          <w:numId w:val="18"/>
        </w:numPr>
        <w:spacing w:after="6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C05D98">
        <w:rPr>
          <w:rFonts w:ascii="Verdana" w:hAnsi="Verdana"/>
          <w:sz w:val="20"/>
          <w:szCs w:val="20"/>
          <w:lang w:val="fr-FR"/>
        </w:rPr>
        <w:t>dTcaPolio : vaccin combiné diphtérie, tétanos, poliomyélite et coqueluche avec des doses réduites d’anatoxines diphtériques (d) et d’antigène coquelucheux (ca)</w:t>
      </w:r>
      <w:r w:rsidR="00C05D98">
        <w:rPr>
          <w:rFonts w:ascii="Verdana" w:hAnsi="Verdana"/>
          <w:sz w:val="20"/>
          <w:szCs w:val="20"/>
          <w:lang w:val="fr-FR"/>
        </w:rPr>
        <w:t>.</w:t>
      </w:r>
    </w:p>
    <w:p w14:paraId="2EEB9228" w14:textId="44AB6283" w:rsidR="00B4398A" w:rsidRPr="00C05D98" w:rsidRDefault="00876807" w:rsidP="00C05D98">
      <w:pPr>
        <w:pStyle w:val="Paragraphedeliste"/>
        <w:numPr>
          <w:ilvl w:val="0"/>
          <w:numId w:val="18"/>
        </w:numPr>
        <w:spacing w:after="6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  <w:lang w:val="fr-FR"/>
        </w:rPr>
        <w:sectPr w:rsidR="00B4398A" w:rsidRPr="00C05D98" w:rsidSect="00C05D98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454" w:gutter="0"/>
          <w:cols w:space="720"/>
          <w:titlePg/>
          <w:docGrid w:linePitch="360"/>
        </w:sectPr>
      </w:pPr>
      <w:r w:rsidRPr="00C05D98">
        <w:rPr>
          <w:rFonts w:ascii="Verdana" w:hAnsi="Verdana"/>
          <w:sz w:val="20"/>
          <w:szCs w:val="20"/>
          <w:lang w:val="fr-FR"/>
        </w:rPr>
        <w:t>dTPolio : vaccin combiné diphtérie, tétanos, et poliomyélite avec des doses réduites d’anatoxines diphtériques (d)</w:t>
      </w:r>
    </w:p>
    <w:p w14:paraId="395ACC16" w14:textId="77777777" w:rsidR="00164C6D" w:rsidRDefault="00164C6D" w:rsidP="00164C6D">
      <w:pPr>
        <w:spacing w:after="120" w:line="240" w:lineRule="auto"/>
        <w:jc w:val="both"/>
        <w:rPr>
          <w:rFonts w:ascii="Verdana" w:eastAsia="Calibri" w:hAnsi="Verdana" w:cs="Times New Roman"/>
          <w:b/>
          <w:bCs/>
          <w:color w:val="000099"/>
          <w:sz w:val="20"/>
          <w:lang w:val="fr-FR"/>
        </w:rPr>
      </w:pPr>
    </w:p>
    <w:p w14:paraId="254EC825" w14:textId="2D9146ED" w:rsidR="00876807" w:rsidRPr="004445DC" w:rsidRDefault="00876807" w:rsidP="00164C6D">
      <w:pPr>
        <w:numPr>
          <w:ilvl w:val="0"/>
          <w:numId w:val="14"/>
        </w:numPr>
        <w:spacing w:after="120" w:line="240" w:lineRule="auto"/>
        <w:ind w:left="284" w:hanging="357"/>
        <w:jc w:val="both"/>
        <w:rPr>
          <w:rFonts w:ascii="Verdana" w:eastAsia="Calibri" w:hAnsi="Verdana" w:cs="Times New Roman"/>
          <w:b/>
          <w:bCs/>
          <w:color w:val="000099"/>
          <w:sz w:val="20"/>
          <w:lang w:val="fr-FR"/>
        </w:rPr>
      </w:pPr>
      <w:r w:rsidRPr="004445DC">
        <w:rPr>
          <w:rFonts w:ascii="Verdana" w:eastAsia="Calibri" w:hAnsi="Verdana" w:cs="Times New Roman"/>
          <w:b/>
          <w:bCs/>
          <w:color w:val="000099"/>
          <w:sz w:val="20"/>
          <w:lang w:val="fr-FR"/>
        </w:rPr>
        <w:t>Contenu / Descriptif</w:t>
      </w:r>
    </w:p>
    <w:p w14:paraId="5A61063C" w14:textId="33E8C792" w:rsidR="00876807" w:rsidRPr="00164C6D" w:rsidRDefault="00876807" w:rsidP="00876807">
      <w:pPr>
        <w:tabs>
          <w:tab w:val="left" w:pos="851"/>
        </w:tabs>
        <w:spacing w:after="0"/>
        <w:ind w:firstLine="283"/>
        <w:rPr>
          <w:rFonts w:ascii="Verdana" w:eastAsia="Calibri" w:hAnsi="Verdana" w:cs="Times New Roman"/>
          <w:b/>
          <w:bCs/>
          <w:color w:val="E36C0A" w:themeColor="accent6" w:themeShade="BF"/>
          <w:sz w:val="20"/>
          <w:lang w:val="fr-FR"/>
        </w:rPr>
      </w:pPr>
      <w:r w:rsidRPr="00164C6D">
        <w:rPr>
          <w:rFonts w:ascii="Verdana" w:eastAsia="Calibri" w:hAnsi="Verdana" w:cs="Times New Roman"/>
          <w:b/>
          <w:bCs/>
          <w:color w:val="E36C0A" w:themeColor="accent6" w:themeShade="BF"/>
          <w:sz w:val="20"/>
          <w:lang w:val="fr-FR"/>
        </w:rPr>
        <w:t>Vaccinations recommandées pour les personnes âgées de 65 ans et plus</w:t>
      </w:r>
    </w:p>
    <w:p w14:paraId="573920FC" w14:textId="77777777" w:rsidR="00876807" w:rsidRPr="00C05D98" w:rsidRDefault="00876807" w:rsidP="005A7457">
      <w:pPr>
        <w:spacing w:after="0"/>
        <w:ind w:firstLine="284"/>
        <w:rPr>
          <w:rFonts w:ascii="Verdana" w:hAnsi="Verdana"/>
          <w:sz w:val="14"/>
          <w:lang w:val="fr-FR"/>
        </w:rPr>
      </w:pPr>
    </w:p>
    <w:tbl>
      <w:tblPr>
        <w:tblStyle w:val="Grilledutableau"/>
        <w:tblW w:w="14601" w:type="dxa"/>
        <w:tblInd w:w="-856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2368"/>
        <w:gridCol w:w="3303"/>
        <w:gridCol w:w="4204"/>
        <w:gridCol w:w="4726"/>
      </w:tblGrid>
      <w:tr w:rsidR="00DA1936" w:rsidRPr="00C05D98" w14:paraId="6EE145C1" w14:textId="77777777" w:rsidTr="00D60AC2">
        <w:trPr>
          <w:cantSplit/>
          <w:tblHeader/>
        </w:trPr>
        <w:tc>
          <w:tcPr>
            <w:tcW w:w="2368" w:type="dxa"/>
            <w:shd w:val="clear" w:color="auto" w:fill="E1E9F3"/>
            <w:vAlign w:val="center"/>
          </w:tcPr>
          <w:p w14:paraId="45B340AF" w14:textId="77777777" w:rsidR="00DA1936" w:rsidRPr="00C05D98" w:rsidRDefault="00A338A7" w:rsidP="00D60AC2">
            <w:pPr>
              <w:jc w:val="center"/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  <w:t>Maladie</w:t>
            </w:r>
          </w:p>
        </w:tc>
        <w:tc>
          <w:tcPr>
            <w:tcW w:w="3303" w:type="dxa"/>
            <w:shd w:val="clear" w:color="auto" w:fill="E1E9F3"/>
            <w:vAlign w:val="center"/>
          </w:tcPr>
          <w:p w14:paraId="08C54AF3" w14:textId="77777777" w:rsidR="00DA1936" w:rsidRPr="00C05D98" w:rsidRDefault="00A338A7" w:rsidP="00D60AC2">
            <w:pPr>
              <w:jc w:val="center"/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  <w:t>Vaccins disponibles</w:t>
            </w:r>
          </w:p>
        </w:tc>
        <w:tc>
          <w:tcPr>
            <w:tcW w:w="4204" w:type="dxa"/>
            <w:shd w:val="clear" w:color="auto" w:fill="E1E9F3"/>
            <w:vAlign w:val="center"/>
          </w:tcPr>
          <w:p w14:paraId="13D909CC" w14:textId="77777777" w:rsidR="00DA1936" w:rsidRPr="00C05D98" w:rsidRDefault="00A338A7" w:rsidP="00D60AC2">
            <w:pPr>
              <w:jc w:val="center"/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  <w:t>Schéma vaccinal</w:t>
            </w:r>
          </w:p>
        </w:tc>
        <w:tc>
          <w:tcPr>
            <w:tcW w:w="4726" w:type="dxa"/>
            <w:shd w:val="clear" w:color="auto" w:fill="E1E9F3"/>
            <w:vAlign w:val="center"/>
          </w:tcPr>
          <w:p w14:paraId="08598F76" w14:textId="77777777" w:rsidR="00DA1936" w:rsidRPr="00C05D98" w:rsidRDefault="00A338A7" w:rsidP="00D60AC2">
            <w:pPr>
              <w:jc w:val="center"/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  <w:t>Commentaires</w:t>
            </w:r>
          </w:p>
        </w:tc>
      </w:tr>
      <w:tr w:rsidR="00DA1936" w:rsidRPr="00C05D98" w14:paraId="5522779B" w14:textId="77777777" w:rsidTr="00D60AC2">
        <w:trPr>
          <w:cantSplit/>
        </w:trPr>
        <w:tc>
          <w:tcPr>
            <w:tcW w:w="2368" w:type="dxa"/>
            <w:vAlign w:val="center"/>
          </w:tcPr>
          <w:p w14:paraId="533DFD8A" w14:textId="77777777" w:rsidR="00DA1936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Grippe saisonnière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0C347DDD" w14:textId="3A366AAE" w:rsidR="004D14E6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Vaccins gripp</w:t>
            </w:r>
            <w:r w:rsidR="004D14E6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al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inactivés </w:t>
            </w:r>
            <w:r w:rsidR="004D14E6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prévus pour la campagne 2025-2026</w:t>
            </w:r>
            <w:r w:rsidR="00C05D98">
              <w:rPr>
                <w:rFonts w:ascii="Verdana" w:hAnsi="Verdana" w:cstheme="majorHAnsi"/>
                <w:sz w:val="20"/>
                <w:szCs w:val="20"/>
                <w:lang w:val="fr-FR"/>
              </w:rPr>
              <w:t> :</w:t>
            </w:r>
          </w:p>
          <w:p w14:paraId="54CD3BE2" w14:textId="24BDF691" w:rsidR="00736B6C" w:rsidRPr="00C05D98" w:rsidRDefault="00A338A7" w:rsidP="00BB431B">
            <w:pPr>
              <w:pStyle w:val="Paragraphedeliste"/>
              <w:numPr>
                <w:ilvl w:val="0"/>
                <w:numId w:val="11"/>
              </w:numPr>
              <w:ind w:left="212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Vaxigrip®</w:t>
            </w:r>
          </w:p>
          <w:p w14:paraId="607F3A92" w14:textId="762F94D5" w:rsidR="004D14E6" w:rsidRPr="00C05D98" w:rsidRDefault="00A338A7" w:rsidP="00BB431B">
            <w:pPr>
              <w:pStyle w:val="Paragraphedeliste"/>
              <w:numPr>
                <w:ilvl w:val="0"/>
                <w:numId w:val="11"/>
              </w:numPr>
              <w:ind w:left="212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Influvac</w:t>
            </w:r>
            <w:r w:rsidR="00117564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®</w:t>
            </w:r>
          </w:p>
          <w:p w14:paraId="0BF6DB58" w14:textId="1C6D50A7" w:rsidR="00DA1936" w:rsidRPr="00C05D98" w:rsidRDefault="004D14E6" w:rsidP="00BB431B">
            <w:pPr>
              <w:pStyle w:val="Paragraphedeliste"/>
              <w:numPr>
                <w:ilvl w:val="0"/>
                <w:numId w:val="11"/>
              </w:numPr>
              <w:ind w:left="212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F</w:t>
            </w:r>
            <w:r w:rsidR="00117564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lucelvax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® (produit sur culture cellulaire</w:t>
            </w:r>
            <w:r w:rsidR="00A338A7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4204" w:type="dxa"/>
            <w:vAlign w:val="center"/>
          </w:tcPr>
          <w:p w14:paraId="18496C74" w14:textId="77777777" w:rsidR="00DA1936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1 dose annuelle </w:t>
            </w:r>
            <w:r w:rsidR="007F4293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lors de la campagne nationale</w:t>
            </w:r>
            <w:r w:rsidR="006B7B07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dont les dates sont fixées par le ministère chargé de la santé.</w:t>
            </w:r>
          </w:p>
        </w:tc>
        <w:tc>
          <w:tcPr>
            <w:tcW w:w="4726" w:type="dxa"/>
            <w:vAlign w:val="center"/>
          </w:tcPr>
          <w:p w14:paraId="53D25B6E" w14:textId="77777777" w:rsidR="0019577D" w:rsidRPr="00C05D98" w:rsidRDefault="007F4293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Fortement recommandé pour les personnes âgées de 65 ans et plus</w:t>
            </w:r>
            <w:r w:rsidR="0019577D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, ainsi que pour les personnes séjournant dans un établissement médico-social quel que soit leur âge.</w:t>
            </w:r>
          </w:p>
          <w:p w14:paraId="480A7B21" w14:textId="490DBD36" w:rsidR="00DA1936" w:rsidRPr="00C05D98" w:rsidRDefault="006B7B0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V</w:t>
            </w:r>
            <w:r w:rsidR="007F4293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accins 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administrés</w:t>
            </w:r>
            <w:r w:rsidR="007F4293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par voie intra</w:t>
            </w:r>
            <w:r w:rsidR="004445DC">
              <w:rPr>
                <w:rFonts w:ascii="Verdana" w:hAnsi="Verdana" w:cstheme="majorHAnsi"/>
                <w:sz w:val="20"/>
                <w:szCs w:val="20"/>
                <w:lang w:val="fr-FR"/>
              </w:rPr>
              <w:t>-</w:t>
            </w:r>
            <w:r w:rsidR="007F4293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musculaire (préférentiellement) ou sous-cutanée profonde</w:t>
            </w:r>
            <w:r w:rsidR="00117564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.</w:t>
            </w:r>
          </w:p>
        </w:tc>
      </w:tr>
      <w:tr w:rsidR="00DA1936" w:rsidRPr="00C05D98" w14:paraId="3C09A11B" w14:textId="77777777" w:rsidTr="00D60AC2">
        <w:trPr>
          <w:cantSplit/>
        </w:trPr>
        <w:tc>
          <w:tcPr>
            <w:tcW w:w="2368" w:type="dxa"/>
            <w:vAlign w:val="center"/>
          </w:tcPr>
          <w:p w14:paraId="26534E40" w14:textId="77777777" w:rsidR="00DA1936" w:rsidRPr="00C05D98" w:rsidRDefault="00806814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COVID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4EDB807" w14:textId="2378D6D6" w:rsidR="00736B6C" w:rsidRPr="00C05D98" w:rsidRDefault="00A338A7" w:rsidP="00BB431B">
            <w:pPr>
              <w:pStyle w:val="Paragraphedeliste"/>
              <w:numPr>
                <w:ilvl w:val="0"/>
                <w:numId w:val="11"/>
              </w:numPr>
              <w:ind w:left="212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Vaccin ARNm</w:t>
            </w:r>
            <w:r w:rsidR="004445DC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 : 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Comirnaty®</w:t>
            </w:r>
          </w:p>
          <w:p w14:paraId="0EB9C906" w14:textId="38909D7D" w:rsidR="00DA1936" w:rsidRPr="00C05D98" w:rsidRDefault="00A338A7" w:rsidP="00BB431B">
            <w:pPr>
              <w:pStyle w:val="Paragraphedeliste"/>
              <w:numPr>
                <w:ilvl w:val="0"/>
                <w:numId w:val="11"/>
              </w:numPr>
              <w:ind w:left="212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Vaccin </w:t>
            </w:r>
            <w:r w:rsidR="00736B6C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à </w:t>
            </w:r>
            <w:r w:rsidR="00117564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protéine recombinante Nuvaxovid</w:t>
            </w:r>
            <w:r w:rsidR="00736B6C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®</w:t>
            </w:r>
          </w:p>
        </w:tc>
        <w:tc>
          <w:tcPr>
            <w:tcW w:w="4204" w:type="dxa"/>
            <w:vAlign w:val="center"/>
          </w:tcPr>
          <w:p w14:paraId="0861B4EA" w14:textId="7455E39C" w:rsidR="00F603CB" w:rsidRPr="00C05D98" w:rsidRDefault="00F603C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1</w:t>
            </w:r>
            <w:r w:rsidR="00E72173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dose au moment de la campagne vaccinale annuelle (automne)</w:t>
            </w:r>
            <w:r w:rsidR="00876807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</w:t>
            </w:r>
            <w:r w:rsidR="00E72173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e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t 1 dose au printemps</w:t>
            </w:r>
            <w:r w:rsidR="00E72173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4726" w:type="dxa"/>
            <w:vAlign w:val="center"/>
          </w:tcPr>
          <w:p w14:paraId="27661E4C" w14:textId="1E09DE9F" w:rsidR="00DA1936" w:rsidRPr="00C05D98" w:rsidRDefault="00F603C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Respecter un délai de 3 mois après la dernière injection/infection</w:t>
            </w:r>
            <w:r w:rsidR="00117564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.</w:t>
            </w:r>
          </w:p>
          <w:p w14:paraId="13A5004F" w14:textId="77777777" w:rsidR="00736B6C" w:rsidRPr="00C05D98" w:rsidRDefault="00736B6C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Les vaccins à ARNm sont recommandés en première intention, les vaccins à protéine recombinante sont une alternative en cas de réticence ou de contre-indication.</w:t>
            </w:r>
          </w:p>
        </w:tc>
      </w:tr>
      <w:tr w:rsidR="00DA1936" w:rsidRPr="00C05D98" w14:paraId="540A53B7" w14:textId="77777777" w:rsidTr="00D60AC2">
        <w:trPr>
          <w:cantSplit/>
        </w:trPr>
        <w:tc>
          <w:tcPr>
            <w:tcW w:w="2368" w:type="dxa"/>
            <w:vAlign w:val="center"/>
          </w:tcPr>
          <w:p w14:paraId="3B9CADDE" w14:textId="64D385C7" w:rsidR="00DA1936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Diphtérie, Tétanos, Poliomyélite (</w:t>
            </w:r>
            <w:r w:rsidR="00117564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d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T</w:t>
            </w:r>
            <w:r w:rsidR="007B2ECB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ca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P)</w:t>
            </w:r>
          </w:p>
        </w:tc>
        <w:tc>
          <w:tcPr>
            <w:tcW w:w="3303" w:type="dxa"/>
            <w:shd w:val="clear" w:color="auto" w:fill="FFFFFF" w:themeFill="background1"/>
            <w:vAlign w:val="center"/>
          </w:tcPr>
          <w:p w14:paraId="04C6E3C9" w14:textId="6F245980" w:rsidR="00DA1936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Vaccins combinés dTcaP (Boostrix</w:t>
            </w:r>
            <w:r w:rsidR="00E10232">
              <w:rPr>
                <w:rFonts w:ascii="Verdana" w:hAnsi="Verdana" w:cstheme="majorHAnsi"/>
                <w:sz w:val="20"/>
                <w:szCs w:val="20"/>
                <w:lang w:val="fr-FR"/>
              </w:rPr>
              <w:t>tetra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®, Repevax®)</w:t>
            </w:r>
          </w:p>
        </w:tc>
        <w:tc>
          <w:tcPr>
            <w:tcW w:w="4204" w:type="dxa"/>
            <w:vAlign w:val="center"/>
          </w:tcPr>
          <w:p w14:paraId="5D1D4A18" w14:textId="3A4BA0D6" w:rsidR="00DA1936" w:rsidRPr="00C05D98" w:rsidRDefault="00F603C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Rappel recommandé aux âges fixes de 65, 75 et 85 ans</w:t>
            </w:r>
            <w:r w:rsidR="004445DC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, </w:t>
            </w:r>
            <w:r w:rsidR="00FC1223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… (au plus près de ces âges)</w:t>
            </w:r>
            <w:r w:rsidR="004445DC">
              <w:rPr>
                <w:rFonts w:ascii="Verdana" w:hAnsi="Verdana" w:cstheme="maj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4726" w:type="dxa"/>
            <w:vAlign w:val="center"/>
          </w:tcPr>
          <w:p w14:paraId="47B05DC6" w14:textId="77777777" w:rsidR="00DA1936" w:rsidRPr="00C05D98" w:rsidRDefault="00F603C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En utilisant un vaccin à dose réduite d’anatoxine diphtérique et incluant la valence coqueluche à dose réduite : dTcaP</w:t>
            </w:r>
          </w:p>
        </w:tc>
      </w:tr>
      <w:tr w:rsidR="00DA1936" w:rsidRPr="00C05D98" w14:paraId="0DB15396" w14:textId="77777777" w:rsidTr="00D60AC2">
        <w:trPr>
          <w:cantSplit/>
        </w:trPr>
        <w:tc>
          <w:tcPr>
            <w:tcW w:w="2368" w:type="dxa"/>
            <w:vAlign w:val="center"/>
          </w:tcPr>
          <w:p w14:paraId="2B3A64B4" w14:textId="77777777" w:rsidR="00DA1936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Coqueluche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A362355" w14:textId="38CC7187" w:rsidR="00DA1936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Vaccins combinés dTcaP (Boostrix</w:t>
            </w:r>
            <w:r w:rsidR="00E10232" w:rsidRPr="00E10232">
              <w:rPr>
                <w:rFonts w:ascii="Verdana" w:hAnsi="Verdana" w:cstheme="majorHAnsi"/>
                <w:sz w:val="18"/>
                <w:szCs w:val="20"/>
                <w:lang w:val="fr-FR"/>
              </w:rPr>
              <w:t>tetra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®, Repevax®)</w:t>
            </w:r>
          </w:p>
        </w:tc>
        <w:tc>
          <w:tcPr>
            <w:tcW w:w="4204" w:type="dxa"/>
            <w:vAlign w:val="center"/>
          </w:tcPr>
          <w:p w14:paraId="09F65AD6" w14:textId="6010B3FC" w:rsidR="00DA1936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1 dose lors du rappel </w:t>
            </w:r>
            <w:r w:rsidR="00117564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d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T</w:t>
            </w:r>
            <w:r w:rsidR="007B2ECB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ca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</w:t>
            </w:r>
            <w:r w:rsidR="00876807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.</w:t>
            </w:r>
          </w:p>
          <w:p w14:paraId="4B076708" w14:textId="77777777" w:rsidR="00876807" w:rsidRPr="004445DC" w:rsidRDefault="00876807" w:rsidP="00BB431B">
            <w:pPr>
              <w:rPr>
                <w:rFonts w:ascii="Verdana" w:hAnsi="Verdana" w:cstheme="majorHAnsi"/>
                <w:sz w:val="14"/>
                <w:szCs w:val="20"/>
                <w:lang w:val="fr-FR"/>
              </w:rPr>
            </w:pPr>
          </w:p>
          <w:p w14:paraId="76088CF2" w14:textId="0265F602" w:rsidR="005A7457" w:rsidRPr="00C05D98" w:rsidRDefault="005A745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Revaccination si la dernière dose de vaccin coquelucheux date de plus de 10 ans (délai minimal de 1 mois entre 1 dose de dTPolio (Revaxis®) et 1 dose de dTcaP</w:t>
            </w:r>
            <w:r w:rsidR="004445DC">
              <w:rPr>
                <w:rFonts w:ascii="Verdana" w:hAnsi="Verdana" w:cstheme="maj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4726" w:type="dxa"/>
            <w:vAlign w:val="center"/>
          </w:tcPr>
          <w:p w14:paraId="41142776" w14:textId="77777777" w:rsidR="007B2ECB" w:rsidRPr="00C05D98" w:rsidRDefault="00A338A7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Recommandé en cas de contact avec nourrisson</w:t>
            </w:r>
            <w:r w:rsidR="00F603CB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et situation de cocooning</w:t>
            </w:r>
            <w:r w:rsidR="007B2ECB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. </w:t>
            </w:r>
          </w:p>
          <w:p w14:paraId="3D3AA3F9" w14:textId="0ECDFB4F" w:rsidR="00DA1936" w:rsidRPr="00C05D98" w:rsidRDefault="007B2EC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Il n’existe pas de vaccin anti</w:t>
            </w:r>
            <w:r w:rsidR="004445DC">
              <w:rPr>
                <w:rFonts w:ascii="Verdana" w:hAnsi="Verdana" w:cstheme="majorHAnsi"/>
                <w:sz w:val="20"/>
                <w:szCs w:val="20"/>
                <w:lang w:val="fr-FR"/>
              </w:rPr>
              <w:t>-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coquelucheux non combiné</w:t>
            </w:r>
            <w:r w:rsidR="005A7457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 : le 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rappel sera fait en mêm</w:t>
            </w:r>
            <w:r w:rsidR="004445DC">
              <w:rPr>
                <w:rFonts w:ascii="Verdana" w:hAnsi="Verdana" w:cstheme="majorHAnsi"/>
                <w:sz w:val="20"/>
                <w:szCs w:val="20"/>
                <w:lang w:val="fr-FR"/>
              </w:rPr>
              <w:t>e temps que chaque rappel dTcaP.</w:t>
            </w:r>
          </w:p>
        </w:tc>
      </w:tr>
      <w:tr w:rsidR="004445DC" w:rsidRPr="00C05D98" w14:paraId="49B869B6" w14:textId="77777777" w:rsidTr="00D60AC2">
        <w:trPr>
          <w:cantSplit/>
        </w:trPr>
        <w:tc>
          <w:tcPr>
            <w:tcW w:w="2368" w:type="dxa"/>
            <w:vAlign w:val="center"/>
          </w:tcPr>
          <w:p w14:paraId="2A44D7C2" w14:textId="73E731A8" w:rsidR="004445DC" w:rsidRPr="004445DC" w:rsidRDefault="004445DC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4445DC">
              <w:rPr>
                <w:rFonts w:ascii="Verdana" w:hAnsi="Verdana"/>
                <w:sz w:val="20"/>
              </w:rPr>
              <w:t>Zona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2E15EA52" w14:textId="0768F9A3" w:rsidR="004445DC" w:rsidRPr="004445DC" w:rsidRDefault="004445DC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4445DC">
              <w:rPr>
                <w:rFonts w:ascii="Verdana" w:hAnsi="Verdana"/>
                <w:sz w:val="20"/>
              </w:rPr>
              <w:t>Shingrix®</w:t>
            </w:r>
          </w:p>
        </w:tc>
        <w:tc>
          <w:tcPr>
            <w:tcW w:w="4204" w:type="dxa"/>
            <w:vAlign w:val="center"/>
          </w:tcPr>
          <w:p w14:paraId="19CB1226" w14:textId="613DA294" w:rsidR="004445DC" w:rsidRPr="009E73DA" w:rsidRDefault="004445DC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C1BD4">
              <w:rPr>
                <w:rFonts w:ascii="Verdana" w:hAnsi="Verdana"/>
                <w:sz w:val="20"/>
                <w:lang w:val="fr-FR"/>
              </w:rPr>
              <w:t>2 doses espacées de 2 mois. La deuxième dose peut être administrée entre 2 et 6 mois.</w:t>
            </w:r>
          </w:p>
        </w:tc>
        <w:tc>
          <w:tcPr>
            <w:tcW w:w="4726" w:type="dxa"/>
            <w:vAlign w:val="center"/>
          </w:tcPr>
          <w:p w14:paraId="58CB067C" w14:textId="77777777" w:rsidR="004445DC" w:rsidRPr="00CC1BD4" w:rsidRDefault="004445DC" w:rsidP="00BB431B">
            <w:pPr>
              <w:rPr>
                <w:rFonts w:ascii="Verdana" w:hAnsi="Verdana"/>
                <w:sz w:val="20"/>
                <w:lang w:val="fr-FR"/>
              </w:rPr>
            </w:pPr>
            <w:r w:rsidRPr="00CC1BD4">
              <w:rPr>
                <w:rFonts w:ascii="Verdana" w:hAnsi="Verdana"/>
                <w:sz w:val="20"/>
                <w:lang w:val="fr-FR"/>
              </w:rPr>
              <w:t>Recommandé à partir de 65 ans, y compris avec des antécédents de zona ou de vaccination par le vaccin Zostavax®, en respectant un délai d’au moins un an avant l’administration de la première dose.</w:t>
            </w:r>
          </w:p>
          <w:p w14:paraId="1E8404CA" w14:textId="1AAB5C06" w:rsidR="00164C6D" w:rsidRPr="00CC1BD4" w:rsidRDefault="00164C6D" w:rsidP="00BB431B">
            <w:pPr>
              <w:rPr>
                <w:rFonts w:ascii="Verdana" w:hAnsi="Verdana"/>
                <w:sz w:val="20"/>
                <w:lang w:val="fr-FR"/>
              </w:rPr>
            </w:pPr>
            <w:r w:rsidRPr="009E73DA">
              <w:rPr>
                <w:rFonts w:ascii="Verdana" w:hAnsi="Verdana" w:cstheme="majorHAnsi"/>
                <w:sz w:val="20"/>
                <w:szCs w:val="20"/>
                <w:lang w:val="fr-FR"/>
              </w:rPr>
              <w:t>Recommandé chez les moins de 65 ans immunodéprimés.</w:t>
            </w:r>
          </w:p>
        </w:tc>
      </w:tr>
    </w:tbl>
    <w:p w14:paraId="42E8A4EA" w14:textId="4DAF282B" w:rsidR="00BB431B" w:rsidRDefault="00BB431B" w:rsidP="00F709F1">
      <w:pPr>
        <w:pStyle w:val="Paragraphedeliste"/>
        <w:ind w:left="142"/>
        <w:rPr>
          <w:rFonts w:ascii="Verdana" w:hAnsi="Verdana"/>
          <w:b/>
          <w:sz w:val="20"/>
          <w:szCs w:val="20"/>
        </w:rPr>
      </w:pPr>
    </w:p>
    <w:p w14:paraId="53A4D0C3" w14:textId="77777777" w:rsidR="00BB431B" w:rsidRPr="00D8620B" w:rsidRDefault="00BB431B" w:rsidP="00D8620B">
      <w:pPr>
        <w:pStyle w:val="Paragraphedeliste"/>
        <w:spacing w:after="0" w:line="240" w:lineRule="auto"/>
        <w:ind w:left="142"/>
        <w:rPr>
          <w:rFonts w:ascii="Verdana" w:hAnsi="Verdana"/>
          <w:b/>
          <w:sz w:val="18"/>
          <w:szCs w:val="20"/>
        </w:rPr>
      </w:pPr>
    </w:p>
    <w:tbl>
      <w:tblPr>
        <w:tblStyle w:val="Grilledutableau"/>
        <w:tblW w:w="14601" w:type="dxa"/>
        <w:tblInd w:w="-856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2368"/>
        <w:gridCol w:w="3303"/>
        <w:gridCol w:w="4204"/>
        <w:gridCol w:w="4726"/>
      </w:tblGrid>
      <w:tr w:rsidR="00BB431B" w:rsidRPr="00C05D98" w14:paraId="34A72F25" w14:textId="77777777" w:rsidTr="00D60AC2">
        <w:trPr>
          <w:cantSplit/>
          <w:tblHeader/>
        </w:trPr>
        <w:tc>
          <w:tcPr>
            <w:tcW w:w="2368" w:type="dxa"/>
            <w:shd w:val="clear" w:color="auto" w:fill="DBE5F1" w:themeFill="accent1" w:themeFillTint="33"/>
            <w:vAlign w:val="center"/>
          </w:tcPr>
          <w:p w14:paraId="727B8074" w14:textId="77777777" w:rsidR="00BB431B" w:rsidRPr="00C05D98" w:rsidRDefault="00BB431B" w:rsidP="00D60AC2">
            <w:pPr>
              <w:jc w:val="center"/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  <w:t>Maladie</w:t>
            </w:r>
          </w:p>
        </w:tc>
        <w:tc>
          <w:tcPr>
            <w:tcW w:w="3303" w:type="dxa"/>
            <w:shd w:val="clear" w:color="auto" w:fill="DBE5F1" w:themeFill="accent1" w:themeFillTint="33"/>
            <w:vAlign w:val="center"/>
          </w:tcPr>
          <w:p w14:paraId="06FBD5C2" w14:textId="77777777" w:rsidR="00BB431B" w:rsidRPr="00C05D98" w:rsidRDefault="00BB431B" w:rsidP="00D60AC2">
            <w:pPr>
              <w:jc w:val="center"/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  <w:t>Vaccins disponibles</w:t>
            </w:r>
          </w:p>
        </w:tc>
        <w:tc>
          <w:tcPr>
            <w:tcW w:w="4204" w:type="dxa"/>
            <w:shd w:val="clear" w:color="auto" w:fill="DBE5F1" w:themeFill="accent1" w:themeFillTint="33"/>
            <w:vAlign w:val="center"/>
          </w:tcPr>
          <w:p w14:paraId="06443172" w14:textId="77777777" w:rsidR="00BB431B" w:rsidRPr="00C05D98" w:rsidRDefault="00BB431B" w:rsidP="00D60AC2">
            <w:pPr>
              <w:jc w:val="center"/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  <w:t>Schéma vaccinal</w:t>
            </w:r>
          </w:p>
        </w:tc>
        <w:tc>
          <w:tcPr>
            <w:tcW w:w="4726" w:type="dxa"/>
            <w:shd w:val="clear" w:color="auto" w:fill="DBE5F1" w:themeFill="accent1" w:themeFillTint="33"/>
            <w:vAlign w:val="center"/>
          </w:tcPr>
          <w:p w14:paraId="01299E36" w14:textId="77777777" w:rsidR="00BB431B" w:rsidRPr="00C05D98" w:rsidRDefault="00BB431B" w:rsidP="00D60AC2">
            <w:pPr>
              <w:jc w:val="center"/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b/>
                <w:i/>
                <w:sz w:val="20"/>
                <w:szCs w:val="20"/>
                <w:lang w:val="fr-FR"/>
              </w:rPr>
              <w:t>Commentaires</w:t>
            </w:r>
          </w:p>
        </w:tc>
      </w:tr>
      <w:tr w:rsidR="00BB431B" w:rsidRPr="00C05D98" w14:paraId="7C14D366" w14:textId="77777777" w:rsidTr="00D60AC2">
        <w:trPr>
          <w:cantSplit/>
        </w:trPr>
        <w:tc>
          <w:tcPr>
            <w:tcW w:w="2368" w:type="dxa"/>
            <w:vAlign w:val="center"/>
          </w:tcPr>
          <w:p w14:paraId="0CC87AC2" w14:textId="77777777" w:rsidR="00BB431B" w:rsidRPr="00C05D98" w:rsidRDefault="00BB431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Hépatite A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021A1B11" w14:textId="77777777" w:rsidR="00BB431B" w:rsidRPr="00C05D98" w:rsidRDefault="00BB431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Havrix®, Avaxim®</w:t>
            </w:r>
          </w:p>
        </w:tc>
        <w:tc>
          <w:tcPr>
            <w:tcW w:w="4204" w:type="dxa"/>
            <w:vAlign w:val="center"/>
          </w:tcPr>
          <w:p w14:paraId="3E8D07F2" w14:textId="192045AF" w:rsidR="00BB431B" w:rsidRPr="00C05D98" w:rsidRDefault="00BB431B" w:rsidP="00BB431B">
            <w:pPr>
              <w:jc w:val="both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2 doses à 6 mois d’intervalle</w:t>
            </w:r>
            <w:r>
              <w:rPr>
                <w:rFonts w:ascii="Verdana" w:hAnsi="Verdana" w:cstheme="maj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4726" w:type="dxa"/>
            <w:vAlign w:val="center"/>
          </w:tcPr>
          <w:p w14:paraId="4376A9EB" w14:textId="77777777" w:rsidR="00BB431B" w:rsidRPr="00C05D98" w:rsidRDefault="00BB431B" w:rsidP="00BB431B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Pour les personnes exposées à un risque particulier :</w:t>
            </w:r>
            <w:r w:rsidRPr="00C05D98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14:paraId="3A616ABF" w14:textId="2D237639" w:rsidR="00BB431B" w:rsidRPr="00C05D98" w:rsidRDefault="00BB431B" w:rsidP="00BB431B">
            <w:pPr>
              <w:pStyle w:val="Paragraphedeliste"/>
              <w:numPr>
                <w:ilvl w:val="0"/>
                <w:numId w:val="11"/>
              </w:numPr>
              <w:ind w:left="226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patients infectés chroniques par le virus de l’hépatite B, l’hépatite C ou porteurs d’une maladie chronique du foie (notamment due à une co</w:t>
            </w:r>
            <w:r>
              <w:rPr>
                <w:rFonts w:ascii="Verdana" w:hAnsi="Verdana" w:cstheme="majorHAnsi"/>
                <w:sz w:val="20"/>
                <w:szCs w:val="20"/>
                <w:lang w:val="fr-FR"/>
              </w:rPr>
              <w:t>nsommation excessive d’alcool),</w:t>
            </w: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</w:t>
            </w:r>
          </w:p>
          <w:p w14:paraId="4648FB13" w14:textId="77777777" w:rsidR="00BB431B" w:rsidRPr="00C05D98" w:rsidRDefault="00BB431B" w:rsidP="00BB431B">
            <w:pPr>
              <w:pStyle w:val="Paragraphedeliste"/>
              <w:numPr>
                <w:ilvl w:val="0"/>
                <w:numId w:val="11"/>
              </w:numPr>
              <w:ind w:left="226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hommes ayant des relations sexuelles avec des hommes</w:t>
            </w:r>
            <w:r w:rsidRPr="00C05D98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</w:p>
          <w:p w14:paraId="78D4F1FF" w14:textId="77777777" w:rsidR="00BB431B" w:rsidRPr="00BB431B" w:rsidRDefault="00BB431B" w:rsidP="00BB431B">
            <w:pPr>
              <w:rPr>
                <w:rFonts w:ascii="Verdana" w:hAnsi="Verdana" w:cstheme="majorHAnsi"/>
                <w:sz w:val="14"/>
                <w:szCs w:val="20"/>
                <w:lang w:val="fr-FR"/>
              </w:rPr>
            </w:pPr>
          </w:p>
          <w:p w14:paraId="1C54CBA2" w14:textId="77777777" w:rsidR="00BB431B" w:rsidRPr="00C05D98" w:rsidRDefault="00BB431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Si la personne est née avant 1945, une sérologie préalable pour recherche d’anticorps témoins d’une immunité ancienne est fortement recommandée.</w:t>
            </w:r>
          </w:p>
        </w:tc>
      </w:tr>
      <w:tr w:rsidR="00BB431B" w:rsidRPr="00C05D98" w14:paraId="659173BC" w14:textId="77777777" w:rsidTr="00D60AC2">
        <w:trPr>
          <w:cantSplit/>
        </w:trPr>
        <w:tc>
          <w:tcPr>
            <w:tcW w:w="2368" w:type="dxa"/>
            <w:vAlign w:val="center"/>
          </w:tcPr>
          <w:p w14:paraId="45FEF02F" w14:textId="77777777" w:rsidR="00BB431B" w:rsidRPr="00C05D98" w:rsidRDefault="00BB431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Virus respiratoire syncytial (VRS)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05105ED" w14:textId="77777777" w:rsidR="00BB431B" w:rsidRPr="00C05D98" w:rsidRDefault="00BB431B" w:rsidP="00D60AC2">
            <w:pPr>
              <w:rPr>
                <w:rFonts w:ascii="Verdana" w:hAnsi="Verdana" w:cstheme="majorHAnsi"/>
                <w:sz w:val="20"/>
                <w:szCs w:val="20"/>
                <w:vertAlign w:val="superscript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Abrysvo</w:t>
            </w:r>
            <w:r w:rsidRPr="00BB431B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® </w:t>
            </w:r>
          </w:p>
          <w:p w14:paraId="1F5D408C" w14:textId="2D08D96C" w:rsidR="00BB431B" w:rsidRPr="00C05D98" w:rsidRDefault="00D8620B" w:rsidP="00D60AC2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>
              <w:rPr>
                <w:rFonts w:ascii="Verdana" w:hAnsi="Verdana" w:cstheme="majorHAnsi"/>
                <w:sz w:val="20"/>
                <w:szCs w:val="20"/>
                <w:lang w:val="fr-FR"/>
              </w:rPr>
              <w:t>Arexvy</w:t>
            </w:r>
            <w:r w:rsidR="00BB431B" w:rsidRPr="00BB431B">
              <w:rPr>
                <w:rFonts w:ascii="Verdana" w:hAnsi="Verdana" w:cstheme="majorHAnsi"/>
                <w:sz w:val="20"/>
                <w:szCs w:val="20"/>
                <w:lang w:val="fr-FR"/>
              </w:rPr>
              <w:t>®</w:t>
            </w:r>
            <w:r w:rsidR="00BB431B"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</w:t>
            </w:r>
          </w:p>
          <w:p w14:paraId="57820077" w14:textId="77777777" w:rsidR="00BB431B" w:rsidRPr="00C05D98" w:rsidRDefault="00BB431B" w:rsidP="00D60AC2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(non remboursés en juin 2025 chez l’adulte)</w:t>
            </w:r>
          </w:p>
          <w:p w14:paraId="3158CB9E" w14:textId="77777777" w:rsidR="00BB431B" w:rsidRPr="00C05D98" w:rsidRDefault="00BB431B" w:rsidP="00D60AC2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</w:p>
        </w:tc>
        <w:tc>
          <w:tcPr>
            <w:tcW w:w="4204" w:type="dxa"/>
            <w:vAlign w:val="center"/>
          </w:tcPr>
          <w:p w14:paraId="368845F0" w14:textId="77777777" w:rsidR="00BB431B" w:rsidRPr="00C05D98" w:rsidRDefault="00BB431B" w:rsidP="00BB431B">
            <w:pPr>
              <w:jc w:val="both"/>
              <w:rPr>
                <w:rFonts w:ascii="Verdana" w:hAnsi="Verdana" w:cstheme="majorHAnsi"/>
                <w:color w:val="31363C"/>
                <w:sz w:val="20"/>
                <w:szCs w:val="20"/>
                <w:shd w:val="clear" w:color="auto" w:fill="FFFFFF"/>
                <w:lang w:val="fr-FR"/>
              </w:rPr>
            </w:pPr>
            <w:r w:rsidRPr="00C05D98">
              <w:rPr>
                <w:rFonts w:ascii="Verdana" w:hAnsi="Verdana" w:cstheme="majorHAnsi"/>
                <w:color w:val="31363C"/>
                <w:sz w:val="20"/>
                <w:szCs w:val="20"/>
                <w:shd w:val="clear" w:color="auto" w:fill="FFFFFF"/>
                <w:lang w:val="fr-FR"/>
              </w:rPr>
              <w:t>1 dose par </w:t>
            </w:r>
            <w:r w:rsidRPr="00C05D98">
              <w:rPr>
                <w:rStyle w:val="glossary-def"/>
                <w:rFonts w:ascii="Verdana" w:hAnsi="Verdana" w:cstheme="majorHAnsi"/>
                <w:color w:val="31363C"/>
                <w:sz w:val="20"/>
                <w:szCs w:val="20"/>
                <w:lang w:val="fr-FR"/>
              </w:rPr>
              <w:t>voie</w:t>
            </w:r>
            <w:r w:rsidRPr="00C05D98">
              <w:rPr>
                <w:rFonts w:ascii="Verdana" w:hAnsi="Verdana" w:cstheme="majorHAnsi"/>
                <w:color w:val="31363C"/>
                <w:sz w:val="20"/>
                <w:szCs w:val="20"/>
                <w:shd w:val="clear" w:color="auto" w:fill="FFFFFF"/>
                <w:lang w:val="fr-FR"/>
              </w:rPr>
              <w:t> </w:t>
            </w:r>
            <w:r w:rsidRPr="00C05D98">
              <w:rPr>
                <w:rStyle w:val="glossary-def"/>
                <w:rFonts w:ascii="Verdana" w:hAnsi="Verdana" w:cstheme="majorHAnsi"/>
                <w:color w:val="31363C"/>
                <w:sz w:val="20"/>
                <w:szCs w:val="20"/>
                <w:lang w:val="fr-FR"/>
              </w:rPr>
              <w:t>intramusculaire</w:t>
            </w:r>
            <w:r w:rsidRPr="00C05D98">
              <w:rPr>
                <w:rFonts w:ascii="Verdana" w:hAnsi="Verdana" w:cstheme="majorHAnsi"/>
                <w:color w:val="31363C"/>
                <w:sz w:val="20"/>
                <w:szCs w:val="20"/>
                <w:shd w:val="clear" w:color="auto" w:fill="FFFFFF"/>
                <w:lang w:val="fr-FR"/>
              </w:rPr>
              <w:t>, dans le muscle deltoïde, en amont de la période épidémique et jusqu’à la fin de la période (soit de septembre à janvier)</w:t>
            </w:r>
          </w:p>
          <w:p w14:paraId="24EFE45A" w14:textId="77777777" w:rsidR="00BB431B" w:rsidRPr="00BB431B" w:rsidRDefault="00BB431B" w:rsidP="00BB431B">
            <w:pPr>
              <w:jc w:val="both"/>
              <w:rPr>
                <w:rFonts w:ascii="Verdana" w:hAnsi="Verdana" w:cstheme="majorHAnsi"/>
                <w:sz w:val="14"/>
                <w:szCs w:val="20"/>
                <w:lang w:val="fr-FR"/>
              </w:rPr>
            </w:pPr>
          </w:p>
          <w:p w14:paraId="22181435" w14:textId="77777777" w:rsidR="00BB431B" w:rsidRPr="00C05D98" w:rsidRDefault="00BB431B" w:rsidP="00BB431B">
            <w:pPr>
              <w:jc w:val="both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La nécessité d’un rappel annuel n’a pas été établie à ce jour.</w:t>
            </w:r>
          </w:p>
        </w:tc>
        <w:tc>
          <w:tcPr>
            <w:tcW w:w="4726" w:type="dxa"/>
            <w:vAlign w:val="center"/>
          </w:tcPr>
          <w:p w14:paraId="10CC01FC" w14:textId="7C8397F5" w:rsidR="00BB431B" w:rsidRPr="00C05D98" w:rsidRDefault="00BB431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Vaccination recommandée</w:t>
            </w:r>
            <w:r>
              <w:rPr>
                <w:rFonts w:ascii="Verdana" w:hAnsi="Verdana" w:cstheme="majorHAnsi"/>
                <w:sz w:val="20"/>
                <w:szCs w:val="20"/>
                <w:lang w:val="fr-FR"/>
              </w:rPr>
              <w:t> :</w:t>
            </w:r>
          </w:p>
          <w:p w14:paraId="7D74D405" w14:textId="77777777" w:rsidR="00BB431B" w:rsidRPr="00C05D98" w:rsidRDefault="00BB431B" w:rsidP="00BB431B">
            <w:pPr>
              <w:pStyle w:val="Paragraphedeliste"/>
              <w:numPr>
                <w:ilvl w:val="0"/>
                <w:numId w:val="11"/>
              </w:numPr>
              <w:ind w:left="226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pour les personnes âgées de 75 ans et plus,</w:t>
            </w:r>
          </w:p>
          <w:p w14:paraId="05F6BBDB" w14:textId="77777777" w:rsidR="00BB431B" w:rsidRPr="00C05D98" w:rsidRDefault="00BB431B" w:rsidP="00BB431B">
            <w:pPr>
              <w:pStyle w:val="Paragraphedeliste"/>
              <w:numPr>
                <w:ilvl w:val="0"/>
                <w:numId w:val="11"/>
              </w:numPr>
              <w:ind w:left="226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pour les personnes âgées de 65 ans et plus présentant une maladie respiratoire chronique pouvant s'aggraver en cas d'infection à VRS (particulièrement la BPCO) ou cardiaque (particulièrement l'insuffisance cardiaque).</w:t>
            </w:r>
          </w:p>
        </w:tc>
      </w:tr>
      <w:tr w:rsidR="00BB431B" w:rsidRPr="00C05D98" w14:paraId="2DBD2E8A" w14:textId="77777777" w:rsidTr="00D60AC2">
        <w:tblPrEx>
          <w:tblCellMar>
            <w:bottom w:w="0" w:type="dxa"/>
          </w:tblCellMar>
        </w:tblPrEx>
        <w:trPr>
          <w:cantSplit/>
        </w:trPr>
        <w:tc>
          <w:tcPr>
            <w:tcW w:w="2368" w:type="dxa"/>
            <w:vAlign w:val="center"/>
          </w:tcPr>
          <w:p w14:paraId="1811CF76" w14:textId="77777777" w:rsidR="00BB431B" w:rsidRPr="00C05D98" w:rsidRDefault="00BB431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Pneumocoque</w:t>
            </w:r>
            <w:bookmarkStart w:id="0" w:name="_GoBack"/>
            <w:bookmarkEnd w:id="0"/>
          </w:p>
        </w:tc>
        <w:tc>
          <w:tcPr>
            <w:tcW w:w="3303" w:type="dxa"/>
            <w:vAlign w:val="center"/>
          </w:tcPr>
          <w:p w14:paraId="7E50A560" w14:textId="00A10E1D" w:rsidR="00BB431B" w:rsidRPr="00C05D98" w:rsidRDefault="00BB431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shd w:val="clear" w:color="auto" w:fill="FFFFFF" w:themeFill="background1"/>
                <w:lang w:val="fr-FR"/>
              </w:rPr>
              <w:t>Prevenar 20®</w:t>
            </w:r>
            <w:r w:rsidR="00D60AC2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0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8"/>
            </w:tblGrid>
            <w:tr w:rsidR="00BB431B" w:rsidRPr="00C05D98" w14:paraId="4DAB8C60" w14:textId="77777777" w:rsidTr="00D302D4">
              <w:trPr>
                <w:trHeight w:val="840"/>
              </w:trPr>
              <w:tc>
                <w:tcPr>
                  <w:tcW w:w="0" w:type="auto"/>
                </w:tcPr>
                <w:p w14:paraId="76E546F6" w14:textId="3DFEF299" w:rsidR="00BB431B" w:rsidRPr="00C05D98" w:rsidRDefault="00BB431B" w:rsidP="00BB431B">
                  <w:pPr>
                    <w:pStyle w:val="Paragraphedeliste"/>
                    <w:numPr>
                      <w:ilvl w:val="0"/>
                      <w:numId w:val="11"/>
                    </w:numPr>
                    <w:spacing w:after="0" w:line="240" w:lineRule="auto"/>
                    <w:ind w:left="63" w:hanging="141"/>
                    <w:jc w:val="both"/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</w:pPr>
                  <w:r w:rsidRPr="00C05D98"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  <w:t>personnes non antérieurement vaccinées : une dose unique</w:t>
                  </w:r>
                  <w:r w:rsidR="008C3043"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  <w:t>,</w:t>
                  </w:r>
                  <w:r w:rsidRPr="00C05D98"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14:paraId="54E04B92" w14:textId="28E7FAD1" w:rsidR="00BB431B" w:rsidRPr="00C05D98" w:rsidRDefault="00BB431B" w:rsidP="00BB431B">
                  <w:pPr>
                    <w:pStyle w:val="Paragraphedeliste"/>
                    <w:numPr>
                      <w:ilvl w:val="0"/>
                      <w:numId w:val="11"/>
                    </w:numPr>
                    <w:spacing w:after="0" w:line="240" w:lineRule="auto"/>
                    <w:ind w:left="63" w:hanging="141"/>
                    <w:jc w:val="both"/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</w:pPr>
                  <w:r w:rsidRPr="00C05D98"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  <w:t>personnes n’ayant reçu antérieurement qu’une seule dose de Prevenar 13® ou qu’une seule dose de Pneumovax® : une dose de Prevenar 20®, si la vaccination an</w:t>
                  </w:r>
                  <w:r w:rsidR="008C3043"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  <w:t>térieure remonte à plus de 1 an,</w:t>
                  </w:r>
                  <w:r w:rsidRPr="00C05D98"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14:paraId="3BBFF1C9" w14:textId="77777777" w:rsidR="00BB431B" w:rsidRPr="00C05D98" w:rsidRDefault="00BB431B" w:rsidP="00BB431B">
                  <w:pPr>
                    <w:pStyle w:val="Paragraphedeliste"/>
                    <w:numPr>
                      <w:ilvl w:val="0"/>
                      <w:numId w:val="11"/>
                    </w:numPr>
                    <w:spacing w:after="0" w:line="240" w:lineRule="auto"/>
                    <w:ind w:left="63" w:hanging="141"/>
                    <w:jc w:val="both"/>
                    <w:rPr>
                      <w:rFonts w:ascii="Verdana" w:hAnsi="Verdana" w:cs="Marianne"/>
                      <w:color w:val="000000"/>
                      <w:sz w:val="20"/>
                      <w:szCs w:val="20"/>
                      <w:lang w:val="fr-FR"/>
                    </w:rPr>
                  </w:pPr>
                  <w:r w:rsidRPr="00C05D98">
                    <w:rPr>
                      <w:rFonts w:ascii="Verdana" w:hAnsi="Verdana" w:cstheme="majorHAnsi"/>
                      <w:sz w:val="20"/>
                      <w:szCs w:val="20"/>
                      <w:lang w:val="fr-FR"/>
                    </w:rPr>
                    <w:t>personnes déjà vaccinées avec la séquence Prevenar 13® - Pneumovax® : une dose de Prevenar 20® en respectant un délai minimal de 5 ans après la précédente injection de Pneumovax®.</w:t>
                  </w:r>
                  <w:r w:rsidRPr="00C05D98">
                    <w:rPr>
                      <w:rFonts w:ascii="Verdana" w:hAnsi="Verdana" w:cs="Marianne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14:paraId="49352F58" w14:textId="77777777" w:rsidR="00BB431B" w:rsidRPr="00C05D98" w:rsidRDefault="00BB431B" w:rsidP="00BB431B">
            <w:pPr>
              <w:rPr>
                <w:rFonts w:ascii="Verdana" w:hAnsi="Verdana" w:cstheme="majorHAnsi"/>
                <w:sz w:val="20"/>
                <w:szCs w:val="20"/>
                <w:lang w:val="fr-FR"/>
              </w:rPr>
            </w:pPr>
          </w:p>
        </w:tc>
        <w:tc>
          <w:tcPr>
            <w:tcW w:w="4726" w:type="dxa"/>
            <w:vAlign w:val="center"/>
          </w:tcPr>
          <w:p w14:paraId="18660F19" w14:textId="5E0FD246" w:rsidR="00BB431B" w:rsidRPr="00C05D98" w:rsidRDefault="00BB431B" w:rsidP="00BB431B">
            <w:pPr>
              <w:pStyle w:val="Paragraphedeliste"/>
              <w:numPr>
                <w:ilvl w:val="0"/>
                <w:numId w:val="11"/>
              </w:numPr>
              <w:ind w:left="226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Recommandé pour toutes les pe</w:t>
            </w:r>
            <w:r w:rsidR="00D8620B">
              <w:rPr>
                <w:rFonts w:ascii="Verdana" w:hAnsi="Verdana" w:cstheme="majorHAnsi"/>
                <w:sz w:val="20"/>
                <w:szCs w:val="20"/>
                <w:lang w:val="fr-FR"/>
              </w:rPr>
              <w:t>rsonnes âgées de plus de 65 ans,</w:t>
            </w:r>
          </w:p>
          <w:p w14:paraId="1E5DFA8A" w14:textId="2002AA30" w:rsidR="00BB431B" w:rsidRPr="00C05D98" w:rsidRDefault="00BB431B" w:rsidP="00BB431B">
            <w:pPr>
              <w:pStyle w:val="Paragraphedeliste"/>
              <w:numPr>
                <w:ilvl w:val="0"/>
                <w:numId w:val="11"/>
              </w:numPr>
              <w:ind w:left="226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 xml:space="preserve">Recommandé chez les personnes de moins de 65 ans présentant des </w:t>
            </w:r>
            <w:r w:rsidRPr="00D8620B">
              <w:rPr>
                <w:rFonts w:ascii="Verdana" w:hAnsi="Verdana" w:cstheme="majorHAnsi"/>
                <w:sz w:val="20"/>
                <w:szCs w:val="20"/>
                <w:u w:val="single"/>
                <w:lang w:val="fr-FR"/>
              </w:rPr>
              <w:t>facteurs de risque</w:t>
            </w:r>
            <w:r w:rsidRPr="00D8620B">
              <w:rPr>
                <w:rFonts w:cstheme="majorHAnsi"/>
                <w:b/>
                <w:sz w:val="28"/>
                <w:vertAlign w:val="superscript"/>
                <w:lang w:val="fr-FR"/>
              </w:rPr>
              <w:footnoteRef/>
            </w:r>
            <w:r w:rsidR="00D8620B">
              <w:rPr>
                <w:rFonts w:ascii="Verdana" w:hAnsi="Verdana" w:cstheme="majorHAnsi"/>
                <w:sz w:val="20"/>
                <w:szCs w:val="20"/>
                <w:lang w:val="fr-FR"/>
              </w:rPr>
              <w:t>,</w:t>
            </w:r>
          </w:p>
          <w:p w14:paraId="16614C6A" w14:textId="181925A3" w:rsidR="00CC1BD4" w:rsidRDefault="00BB431B" w:rsidP="00BB431B">
            <w:pPr>
              <w:pStyle w:val="Paragraphedeliste"/>
              <w:numPr>
                <w:ilvl w:val="0"/>
                <w:numId w:val="11"/>
              </w:numPr>
              <w:ind w:left="226" w:hanging="141"/>
              <w:rPr>
                <w:rFonts w:ascii="Verdana" w:hAnsi="Verdana" w:cstheme="majorHAnsi"/>
                <w:sz w:val="20"/>
                <w:szCs w:val="20"/>
                <w:lang w:val="fr-FR"/>
              </w:rPr>
            </w:pPr>
            <w:r w:rsidRPr="00C05D98">
              <w:rPr>
                <w:rFonts w:ascii="Verdana" w:hAnsi="Verdana" w:cstheme="majorHAnsi"/>
                <w:sz w:val="20"/>
                <w:szCs w:val="20"/>
                <w:lang w:val="fr-FR"/>
              </w:rPr>
              <w:t>La nécessité d’une revaccination avec une dose ultérieure de Prevenar 20® n’a pas été établie.</w:t>
            </w:r>
          </w:p>
          <w:p w14:paraId="045463A3" w14:textId="77777777" w:rsidR="00CC1BD4" w:rsidRPr="00CC1BD4" w:rsidRDefault="00CC1BD4" w:rsidP="00CC1BD4">
            <w:pPr>
              <w:rPr>
                <w:lang w:val="fr-FR"/>
              </w:rPr>
            </w:pPr>
          </w:p>
          <w:p w14:paraId="17C59B6F" w14:textId="14908FEF" w:rsidR="00CC1BD4" w:rsidRDefault="00CC1BD4" w:rsidP="00CC1BD4">
            <w:pPr>
              <w:rPr>
                <w:lang w:val="fr-FR"/>
              </w:rPr>
            </w:pPr>
          </w:p>
          <w:p w14:paraId="08EE6E76" w14:textId="05F01C55" w:rsidR="00CC1BD4" w:rsidRDefault="00CC1BD4" w:rsidP="00CC1BD4">
            <w:pPr>
              <w:rPr>
                <w:lang w:val="fr-FR"/>
              </w:rPr>
            </w:pPr>
          </w:p>
          <w:p w14:paraId="677BAC89" w14:textId="68C0FD0A" w:rsidR="00CC1BD4" w:rsidRDefault="00CC1BD4" w:rsidP="00CC1BD4">
            <w:pPr>
              <w:rPr>
                <w:lang w:val="fr-FR"/>
              </w:rPr>
            </w:pPr>
          </w:p>
          <w:p w14:paraId="4EB85E7F" w14:textId="77777777" w:rsidR="00BB431B" w:rsidRPr="00CC1BD4" w:rsidRDefault="00BB431B" w:rsidP="00CC1BD4">
            <w:pPr>
              <w:rPr>
                <w:lang w:val="fr-FR"/>
              </w:rPr>
            </w:pPr>
          </w:p>
        </w:tc>
      </w:tr>
    </w:tbl>
    <w:p w14:paraId="7AD93F9A" w14:textId="782FD1E5" w:rsidR="00BB431B" w:rsidRPr="00C05D98" w:rsidRDefault="00BB431B" w:rsidP="00E81C70">
      <w:pPr>
        <w:pStyle w:val="Paragraphedeliste"/>
        <w:ind w:left="0"/>
        <w:rPr>
          <w:rFonts w:ascii="Verdana" w:hAnsi="Verdana"/>
          <w:b/>
          <w:sz w:val="20"/>
          <w:szCs w:val="20"/>
        </w:rPr>
      </w:pPr>
    </w:p>
    <w:p w14:paraId="0A0B7C39" w14:textId="78A09107" w:rsidR="00F709F1" w:rsidRPr="00D8620B" w:rsidRDefault="00F709F1" w:rsidP="00E81C70">
      <w:pPr>
        <w:pStyle w:val="Paragraphedeliste"/>
        <w:ind w:left="0"/>
        <w:rPr>
          <w:rFonts w:ascii="Verdana" w:hAnsi="Verdana"/>
          <w:sz w:val="18"/>
          <w:szCs w:val="20"/>
          <w:lang w:val="fr-FR"/>
        </w:rPr>
      </w:pPr>
      <w:r w:rsidRPr="00D8620B">
        <w:rPr>
          <w:rStyle w:val="Appeldenotedefin"/>
          <w:rFonts w:ascii="Verdana" w:hAnsi="Verdana"/>
          <w:b/>
          <w:sz w:val="24"/>
          <w:szCs w:val="20"/>
        </w:rPr>
        <w:footnoteRef/>
      </w:r>
      <w:r w:rsidRPr="00D8620B">
        <w:rPr>
          <w:rFonts w:ascii="Verdana" w:hAnsi="Verdana"/>
          <w:b/>
          <w:sz w:val="20"/>
          <w:szCs w:val="20"/>
        </w:rPr>
        <w:t xml:space="preserve"> </w:t>
      </w:r>
      <w:r w:rsidRPr="00D8620B">
        <w:rPr>
          <w:rFonts w:ascii="Verdana" w:hAnsi="Verdana"/>
          <w:i/>
          <w:sz w:val="18"/>
          <w:szCs w:val="20"/>
          <w:u w:val="single"/>
          <w:lang w:val="fr-FR"/>
        </w:rPr>
        <w:t>Facteurs de risque d’infection à pneumocoque</w:t>
      </w:r>
    </w:p>
    <w:p w14:paraId="75A9495A" w14:textId="77777777" w:rsidR="00F709F1" w:rsidRPr="00D8620B" w:rsidRDefault="00F709F1" w:rsidP="00E81C70">
      <w:pPr>
        <w:pStyle w:val="Paragraphedeliste"/>
        <w:ind w:left="567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color w:val="E36C0A" w:themeColor="accent6" w:themeShade="BF"/>
          <w:sz w:val="16"/>
          <w:szCs w:val="20"/>
          <w:lang w:val="fr-FR"/>
        </w:rPr>
        <w:t xml:space="preserve">Résidents immunodéprimés </w:t>
      </w:r>
      <w:r w:rsidRPr="00D8620B">
        <w:rPr>
          <w:rFonts w:ascii="Verdana" w:hAnsi="Verdana"/>
          <w:i/>
          <w:sz w:val="16"/>
          <w:szCs w:val="20"/>
          <w:lang w:val="fr-FR"/>
        </w:rPr>
        <w:t>(résidents concernés par les recommandations de vaccination des immunodéprimés) :</w:t>
      </w:r>
    </w:p>
    <w:p w14:paraId="7A6FE6AD" w14:textId="77777777" w:rsidR="00F709F1" w:rsidRPr="00D8620B" w:rsidRDefault="00F709F1" w:rsidP="00E81C70">
      <w:pPr>
        <w:pStyle w:val="Paragraphedeliste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Aspléniques ou hypospléniques (incluant les syndromes drépanocytaires majeurs)</w:t>
      </w:r>
    </w:p>
    <w:p w14:paraId="31F17D4D" w14:textId="77777777" w:rsidR="00F709F1" w:rsidRPr="00D8620B" w:rsidRDefault="00F709F1" w:rsidP="00E81C70">
      <w:pPr>
        <w:pStyle w:val="Paragraphedeliste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Atteints de déficits immunitaires héréditaires</w:t>
      </w:r>
    </w:p>
    <w:p w14:paraId="1860AF98" w14:textId="77777777" w:rsidR="00F709F1" w:rsidRPr="00D8620B" w:rsidRDefault="00F709F1" w:rsidP="00E81C70">
      <w:pPr>
        <w:pStyle w:val="Paragraphedeliste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 xml:space="preserve">Infectés par le VIH </w:t>
      </w:r>
    </w:p>
    <w:p w14:paraId="503D0BAC" w14:textId="77777777" w:rsidR="00F709F1" w:rsidRPr="00D8620B" w:rsidRDefault="00F709F1" w:rsidP="00E81C70">
      <w:pPr>
        <w:pStyle w:val="Paragraphedeliste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 xml:space="preserve">Patients/résidents présentant une tumeur solide ou une hémopathie maligne </w:t>
      </w:r>
    </w:p>
    <w:p w14:paraId="79418C95" w14:textId="784BB0B6" w:rsidR="00F709F1" w:rsidRPr="00D8620B" w:rsidRDefault="00F709F1" w:rsidP="00E81C70">
      <w:pPr>
        <w:pStyle w:val="Paragraphedeliste"/>
        <w:numPr>
          <w:ilvl w:val="0"/>
          <w:numId w:val="12"/>
        </w:numPr>
        <w:spacing w:after="0" w:line="240" w:lineRule="auto"/>
        <w:ind w:left="567" w:hanging="284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Transplantés ou en attente de transplantation d’organe solide</w:t>
      </w:r>
    </w:p>
    <w:p w14:paraId="62BB1A9A" w14:textId="77777777" w:rsidR="00F709F1" w:rsidRPr="00D8620B" w:rsidRDefault="00F709F1" w:rsidP="00E81C70">
      <w:pPr>
        <w:pStyle w:val="Paragraphedeliste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Greffés de cellules souches hématopoïétiques</w:t>
      </w:r>
    </w:p>
    <w:p w14:paraId="3EF86421" w14:textId="77777777" w:rsidR="00F709F1" w:rsidRPr="00D8620B" w:rsidRDefault="00F709F1" w:rsidP="00E81C70">
      <w:pPr>
        <w:pStyle w:val="Paragraphedeliste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Traités par immunosuppresseur, biothérapie et/ou corticothérapie pour une maladie auto-immune ou inflammatoire chronique</w:t>
      </w:r>
    </w:p>
    <w:p w14:paraId="5A262C30" w14:textId="77777777" w:rsidR="00F709F1" w:rsidRPr="00D8620B" w:rsidRDefault="00F709F1" w:rsidP="00E81C70">
      <w:pPr>
        <w:pStyle w:val="Paragraphedeliste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Atteints de syndrome néphrotique</w:t>
      </w:r>
    </w:p>
    <w:p w14:paraId="057A245A" w14:textId="77777777" w:rsidR="00F709F1" w:rsidRPr="00D8620B" w:rsidRDefault="00F709F1" w:rsidP="00E81C70">
      <w:pPr>
        <w:spacing w:before="240" w:after="0"/>
        <w:ind w:left="567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color w:val="E36C0A" w:themeColor="accent6" w:themeShade="BF"/>
          <w:sz w:val="16"/>
          <w:szCs w:val="20"/>
          <w:lang w:val="fr-FR"/>
        </w:rPr>
        <w:t xml:space="preserve">Résidents non immunodéprimés </w:t>
      </w:r>
      <w:r w:rsidRPr="00D8620B">
        <w:rPr>
          <w:rFonts w:ascii="Verdana" w:hAnsi="Verdana"/>
          <w:i/>
          <w:sz w:val="16"/>
          <w:szCs w:val="20"/>
          <w:lang w:val="fr-FR"/>
        </w:rPr>
        <w:t>porteurs d’une maladie sous-jacente prédisposant à la survenue d’Infection Invasive à Pneumocoque (IIP) :</w:t>
      </w:r>
    </w:p>
    <w:p w14:paraId="39D14E49" w14:textId="77777777" w:rsidR="00F709F1" w:rsidRPr="00D8620B" w:rsidRDefault="00F709F1" w:rsidP="00E81C70">
      <w:pPr>
        <w:pStyle w:val="Paragraphedeliste"/>
        <w:numPr>
          <w:ilvl w:val="0"/>
          <w:numId w:val="13"/>
        </w:numPr>
        <w:spacing w:after="0" w:line="240" w:lineRule="auto"/>
        <w:ind w:left="567" w:hanging="284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Cardiopathie congénitale cyanogène, insuffisance cardiaque</w:t>
      </w:r>
    </w:p>
    <w:p w14:paraId="2DB52C33" w14:textId="77777777" w:rsidR="00F709F1" w:rsidRPr="00D8620B" w:rsidRDefault="00F709F1" w:rsidP="00E81C70">
      <w:pPr>
        <w:pStyle w:val="Paragraphedeliste"/>
        <w:numPr>
          <w:ilvl w:val="0"/>
          <w:numId w:val="13"/>
        </w:numPr>
        <w:spacing w:after="0" w:line="240" w:lineRule="auto"/>
        <w:ind w:left="567" w:hanging="284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Insuffisance respiratoire chronique, bronchopneumopathie obstructive, emphysème</w:t>
      </w:r>
    </w:p>
    <w:p w14:paraId="1A6D66AA" w14:textId="77777777" w:rsidR="00F709F1" w:rsidRPr="00D8620B" w:rsidRDefault="00F709F1" w:rsidP="00E81C70">
      <w:pPr>
        <w:pStyle w:val="Paragraphedeliste"/>
        <w:numPr>
          <w:ilvl w:val="0"/>
          <w:numId w:val="13"/>
        </w:numPr>
        <w:spacing w:after="0" w:line="240" w:lineRule="auto"/>
        <w:ind w:left="567" w:hanging="284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Asthme sévère sous traitement continu</w:t>
      </w:r>
    </w:p>
    <w:p w14:paraId="72083BD5" w14:textId="77777777" w:rsidR="00F709F1" w:rsidRPr="00D8620B" w:rsidRDefault="00F709F1" w:rsidP="00E81C70">
      <w:pPr>
        <w:pStyle w:val="Paragraphedeliste"/>
        <w:numPr>
          <w:ilvl w:val="0"/>
          <w:numId w:val="13"/>
        </w:numPr>
        <w:spacing w:after="0" w:line="240" w:lineRule="auto"/>
        <w:ind w:left="567" w:hanging="284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Insuffisance rénale</w:t>
      </w:r>
    </w:p>
    <w:p w14:paraId="40EC3D6F" w14:textId="77777777" w:rsidR="00F709F1" w:rsidRPr="00D8620B" w:rsidRDefault="00F709F1" w:rsidP="00E81C70">
      <w:pPr>
        <w:pStyle w:val="Paragraphedeliste"/>
        <w:numPr>
          <w:ilvl w:val="0"/>
          <w:numId w:val="13"/>
        </w:numPr>
        <w:spacing w:after="0" w:line="240" w:lineRule="auto"/>
        <w:ind w:left="567" w:hanging="284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Hépatopathie chronique d’origine alcoolique ou non</w:t>
      </w:r>
    </w:p>
    <w:p w14:paraId="41FDAA42" w14:textId="77777777" w:rsidR="00F709F1" w:rsidRPr="00D8620B" w:rsidRDefault="00F709F1" w:rsidP="00E81C70">
      <w:pPr>
        <w:pStyle w:val="Paragraphedeliste"/>
        <w:numPr>
          <w:ilvl w:val="0"/>
          <w:numId w:val="13"/>
        </w:numPr>
        <w:spacing w:after="0" w:line="240" w:lineRule="auto"/>
        <w:ind w:left="567" w:hanging="284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Diabète non équilibré par le simple régime</w:t>
      </w:r>
    </w:p>
    <w:p w14:paraId="374950C8" w14:textId="475CA694" w:rsidR="00B4398A" w:rsidRDefault="00F709F1" w:rsidP="00E81C70">
      <w:pPr>
        <w:pStyle w:val="Paragraphedeliste"/>
        <w:numPr>
          <w:ilvl w:val="0"/>
          <w:numId w:val="13"/>
        </w:numPr>
        <w:spacing w:after="0" w:line="240" w:lineRule="auto"/>
        <w:ind w:left="567" w:hanging="284"/>
        <w:contextualSpacing w:val="0"/>
        <w:jc w:val="both"/>
        <w:rPr>
          <w:rFonts w:ascii="Verdana" w:hAnsi="Verdana"/>
          <w:i/>
          <w:sz w:val="16"/>
          <w:szCs w:val="20"/>
          <w:lang w:val="fr-FR"/>
        </w:rPr>
      </w:pPr>
      <w:r w:rsidRPr="00D8620B">
        <w:rPr>
          <w:rFonts w:ascii="Verdana" w:hAnsi="Verdana"/>
          <w:i/>
          <w:sz w:val="16"/>
          <w:szCs w:val="20"/>
          <w:lang w:val="fr-FR"/>
        </w:rPr>
        <w:t>Patients présentant une brèche ostéoméningée, un implant cochléaire ou candidats à une implantation cochléaire.</w:t>
      </w:r>
    </w:p>
    <w:p w14:paraId="486F54B5" w14:textId="48E1C46A" w:rsidR="00D8620B" w:rsidRDefault="00D8620B" w:rsidP="00E81C70">
      <w:pPr>
        <w:spacing w:after="0" w:line="240" w:lineRule="auto"/>
        <w:ind w:left="567"/>
        <w:jc w:val="both"/>
        <w:rPr>
          <w:rFonts w:ascii="Verdana" w:hAnsi="Verdana"/>
          <w:i/>
          <w:sz w:val="16"/>
          <w:szCs w:val="20"/>
          <w:lang w:val="fr-FR"/>
        </w:rPr>
      </w:pPr>
    </w:p>
    <w:p w14:paraId="54B04D64" w14:textId="24C4CB01" w:rsidR="00D8620B" w:rsidRDefault="00D8620B" w:rsidP="00D8620B">
      <w:pPr>
        <w:spacing w:after="0" w:line="240" w:lineRule="auto"/>
        <w:jc w:val="both"/>
        <w:rPr>
          <w:rFonts w:ascii="Verdana" w:hAnsi="Verdana"/>
          <w:i/>
          <w:sz w:val="16"/>
          <w:szCs w:val="20"/>
          <w:lang w:val="fr-FR"/>
        </w:rPr>
      </w:pPr>
    </w:p>
    <w:p w14:paraId="20D562EA" w14:textId="77777777" w:rsidR="00D8620B" w:rsidRPr="00C05D98" w:rsidRDefault="00D8620B" w:rsidP="00D8620B">
      <w:pPr>
        <w:numPr>
          <w:ilvl w:val="0"/>
          <w:numId w:val="14"/>
        </w:numPr>
        <w:spacing w:before="240" w:after="120" w:line="240" w:lineRule="auto"/>
        <w:ind w:left="283" w:hanging="357"/>
        <w:jc w:val="both"/>
        <w:rPr>
          <w:rFonts w:ascii="Verdana" w:eastAsia="Calibri" w:hAnsi="Verdana" w:cs="Times New Roman"/>
          <w:b/>
          <w:bCs/>
          <w:color w:val="000099"/>
          <w:sz w:val="20"/>
          <w:szCs w:val="20"/>
          <w:lang w:val="fr-FR"/>
        </w:rPr>
      </w:pPr>
      <w:r w:rsidRPr="00C05D98">
        <w:rPr>
          <w:rFonts w:ascii="Verdana" w:eastAsia="Calibri" w:hAnsi="Verdana" w:cs="Times New Roman"/>
          <w:b/>
          <w:bCs/>
          <w:color w:val="000099"/>
          <w:sz w:val="20"/>
          <w:szCs w:val="20"/>
          <w:lang w:val="fr-FR"/>
        </w:rPr>
        <w:t>Traçabilité</w:t>
      </w:r>
    </w:p>
    <w:p w14:paraId="354068C0" w14:textId="77777777" w:rsidR="00D8620B" w:rsidRPr="00C05D98" w:rsidRDefault="00D8620B" w:rsidP="00D8620B">
      <w:pPr>
        <w:ind w:left="284"/>
        <w:rPr>
          <w:rFonts w:ascii="Verdana" w:hAnsi="Verdana"/>
          <w:sz w:val="20"/>
          <w:szCs w:val="20"/>
          <w:lang w:val="fr-FR"/>
        </w:rPr>
      </w:pPr>
      <w:r w:rsidRPr="00C05D98">
        <w:rPr>
          <w:rFonts w:ascii="Verdana" w:hAnsi="Verdana"/>
          <w:sz w:val="20"/>
          <w:szCs w:val="20"/>
          <w:lang w:val="fr-FR"/>
        </w:rPr>
        <w:t>L’administration doit être tracée dans le dossier du résident et/ou dans le carnet de vaccination.</w:t>
      </w:r>
    </w:p>
    <w:p w14:paraId="02FF5B01" w14:textId="77777777" w:rsidR="00D8620B" w:rsidRPr="00C05D98" w:rsidRDefault="00D8620B" w:rsidP="00D8620B">
      <w:pPr>
        <w:numPr>
          <w:ilvl w:val="0"/>
          <w:numId w:val="14"/>
        </w:numPr>
        <w:spacing w:after="120" w:line="240" w:lineRule="auto"/>
        <w:ind w:left="283" w:hanging="357"/>
        <w:jc w:val="both"/>
        <w:rPr>
          <w:rFonts w:ascii="Verdana" w:eastAsia="Calibri" w:hAnsi="Verdana" w:cs="Times New Roman"/>
          <w:b/>
          <w:bCs/>
          <w:color w:val="000099"/>
          <w:sz w:val="20"/>
          <w:szCs w:val="20"/>
          <w:lang w:val="fr-FR"/>
        </w:rPr>
      </w:pPr>
      <w:r w:rsidRPr="00C05D98">
        <w:rPr>
          <w:rFonts w:ascii="Verdana" w:eastAsia="Calibri" w:hAnsi="Verdana" w:cs="Times New Roman"/>
          <w:b/>
          <w:bCs/>
          <w:color w:val="000099"/>
          <w:sz w:val="20"/>
          <w:szCs w:val="20"/>
          <w:lang w:val="fr-FR"/>
        </w:rPr>
        <w:t>Références</w:t>
      </w:r>
    </w:p>
    <w:p w14:paraId="1952F342" w14:textId="77777777" w:rsidR="00D8620B" w:rsidRPr="00C05D98" w:rsidRDefault="00D8620B" w:rsidP="00D8620B">
      <w:pPr>
        <w:pStyle w:val="Paragraphedeliste"/>
        <w:numPr>
          <w:ilvl w:val="0"/>
          <w:numId w:val="17"/>
        </w:numPr>
        <w:spacing w:after="60" w:line="240" w:lineRule="auto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C05D98">
        <w:rPr>
          <w:rFonts w:ascii="Verdana" w:hAnsi="Verdana"/>
          <w:sz w:val="20"/>
          <w:szCs w:val="20"/>
          <w:lang w:val="fr-FR"/>
        </w:rPr>
        <w:t>Ministère du travail, de la santé et des solidarités. Calendrier des vaccinations et recommandations vaccinales 2025 [</w:t>
      </w:r>
      <w:hyperlink r:id="rId12" w:history="1">
        <w:r w:rsidRPr="00C05D98">
          <w:rPr>
            <w:rStyle w:val="Lienhypertexte"/>
            <w:rFonts w:ascii="Verdana" w:hAnsi="Verdana"/>
            <w:sz w:val="20"/>
            <w:szCs w:val="20"/>
            <w:lang w:val="fr-FR"/>
          </w:rPr>
          <w:t>Lien</w:t>
        </w:r>
      </w:hyperlink>
      <w:r w:rsidRPr="00C05D98">
        <w:rPr>
          <w:rFonts w:ascii="Verdana" w:hAnsi="Verdana"/>
          <w:sz w:val="20"/>
          <w:szCs w:val="20"/>
          <w:lang w:val="fr-FR"/>
        </w:rPr>
        <w:t>]</w:t>
      </w:r>
    </w:p>
    <w:p w14:paraId="1E4ADFCE" w14:textId="77777777" w:rsidR="00D8620B" w:rsidRPr="00C05D98" w:rsidRDefault="00D8620B" w:rsidP="00D8620B">
      <w:pPr>
        <w:pStyle w:val="Paragraphedeliste"/>
        <w:numPr>
          <w:ilvl w:val="0"/>
          <w:numId w:val="17"/>
        </w:numPr>
        <w:spacing w:after="60" w:line="240" w:lineRule="auto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C05D98">
        <w:rPr>
          <w:rFonts w:ascii="Verdana" w:hAnsi="Verdana"/>
          <w:sz w:val="20"/>
          <w:szCs w:val="20"/>
          <w:lang w:val="fr-FR"/>
        </w:rPr>
        <w:t>SF2H. Surveiller et Prévenir les Infections liées aux soins. Hygiènes 2010; XVII(4):1-175 [</w:t>
      </w:r>
      <w:hyperlink r:id="rId13" w:history="1">
        <w:r w:rsidRPr="00C05D98">
          <w:rPr>
            <w:rStyle w:val="Lienhypertexte"/>
            <w:rFonts w:ascii="Verdana" w:hAnsi="Verdana"/>
            <w:sz w:val="20"/>
            <w:szCs w:val="20"/>
            <w:lang w:val="fr-FR"/>
          </w:rPr>
          <w:t>Lien</w:t>
        </w:r>
      </w:hyperlink>
      <w:r w:rsidRPr="00C05D98">
        <w:rPr>
          <w:rFonts w:ascii="Verdana" w:hAnsi="Verdana"/>
          <w:sz w:val="20"/>
          <w:szCs w:val="20"/>
          <w:lang w:val="fr-FR"/>
        </w:rPr>
        <w:t>]</w:t>
      </w:r>
    </w:p>
    <w:p w14:paraId="3978AE7D" w14:textId="77777777" w:rsidR="00D8620B" w:rsidRPr="00C05D98" w:rsidRDefault="00D8620B" w:rsidP="00D8620B">
      <w:pPr>
        <w:pStyle w:val="Paragraphedeliste"/>
        <w:numPr>
          <w:ilvl w:val="0"/>
          <w:numId w:val="17"/>
        </w:numPr>
        <w:spacing w:after="60" w:line="240" w:lineRule="auto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C05D98">
        <w:rPr>
          <w:rFonts w:ascii="Verdana" w:hAnsi="Verdana"/>
          <w:sz w:val="20"/>
          <w:szCs w:val="20"/>
          <w:lang w:val="fr-FR"/>
        </w:rPr>
        <w:t>Mes vaccins.net [</w:t>
      </w:r>
      <w:hyperlink r:id="rId14" w:history="1">
        <w:r w:rsidRPr="00C05D98">
          <w:rPr>
            <w:rStyle w:val="Lienhypertexte"/>
            <w:rFonts w:ascii="Verdana" w:hAnsi="Verdana"/>
            <w:sz w:val="20"/>
            <w:szCs w:val="20"/>
            <w:lang w:val="fr-FR"/>
          </w:rPr>
          <w:t>Lien</w:t>
        </w:r>
      </w:hyperlink>
      <w:r w:rsidRPr="00C05D98">
        <w:rPr>
          <w:rFonts w:ascii="Verdana" w:hAnsi="Verdana"/>
          <w:sz w:val="20"/>
          <w:szCs w:val="20"/>
          <w:lang w:val="fr-FR"/>
        </w:rPr>
        <w:t>]</w:t>
      </w:r>
    </w:p>
    <w:p w14:paraId="65CAC447" w14:textId="4E896391" w:rsidR="00D8620B" w:rsidRDefault="00D8620B" w:rsidP="00D8620B">
      <w:pPr>
        <w:pStyle w:val="Paragraphedeliste"/>
        <w:numPr>
          <w:ilvl w:val="0"/>
          <w:numId w:val="17"/>
        </w:numPr>
        <w:spacing w:after="60" w:line="240" w:lineRule="auto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C05D98">
        <w:rPr>
          <w:rFonts w:ascii="Verdana" w:hAnsi="Verdana"/>
          <w:sz w:val="20"/>
          <w:szCs w:val="20"/>
          <w:lang w:val="fr-FR"/>
        </w:rPr>
        <w:t>Vaccination infoservice.fr [</w:t>
      </w:r>
      <w:hyperlink r:id="rId15" w:history="1">
        <w:r w:rsidRPr="00C05D98">
          <w:rPr>
            <w:rStyle w:val="Lienhypertexte"/>
            <w:rFonts w:ascii="Verdana" w:hAnsi="Verdana"/>
            <w:sz w:val="20"/>
            <w:szCs w:val="20"/>
            <w:lang w:val="fr-FR"/>
          </w:rPr>
          <w:t>Lien</w:t>
        </w:r>
      </w:hyperlink>
      <w:r w:rsidRPr="00C05D98">
        <w:rPr>
          <w:rFonts w:ascii="Verdana" w:hAnsi="Verdana"/>
          <w:sz w:val="20"/>
          <w:szCs w:val="20"/>
          <w:lang w:val="fr-FR"/>
        </w:rPr>
        <w:t>]</w:t>
      </w:r>
    </w:p>
    <w:p w14:paraId="338F2FE2" w14:textId="5160294A" w:rsidR="00D8620B" w:rsidRDefault="00D8620B" w:rsidP="00E46498">
      <w:pPr>
        <w:spacing w:after="6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2D7213B8" w14:textId="0C254543" w:rsidR="00E81C70" w:rsidRDefault="00E81C70">
      <w:pPr>
        <w:rPr>
          <w:rFonts w:ascii="Verdana" w:hAnsi="Verdana"/>
          <w:sz w:val="20"/>
          <w:szCs w:val="20"/>
          <w:lang w:val="fr-FR"/>
        </w:rPr>
      </w:pPr>
    </w:p>
    <w:sectPr w:rsidR="00E81C70" w:rsidSect="00E81C70">
      <w:pgSz w:w="15840" w:h="12240" w:orient="landscape"/>
      <w:pgMar w:top="1418" w:right="1440" w:bottom="851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6412" w14:textId="77777777" w:rsidR="005D70D8" w:rsidRDefault="005D70D8" w:rsidP="00D96AD7">
      <w:pPr>
        <w:spacing w:after="0" w:line="240" w:lineRule="auto"/>
      </w:pPr>
      <w:r>
        <w:separator/>
      </w:r>
    </w:p>
  </w:endnote>
  <w:endnote w:type="continuationSeparator" w:id="0">
    <w:p w14:paraId="015C8B19" w14:textId="77777777" w:rsidR="005D70D8" w:rsidRDefault="005D70D8" w:rsidP="00D9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EF52" w14:textId="3751DF5F" w:rsidR="008C3043" w:rsidRPr="00AC4FDE" w:rsidRDefault="008C3043" w:rsidP="008C3043">
    <w:pPr>
      <w:pStyle w:val="Pieddepage"/>
      <w:ind w:left="-426" w:right="-568"/>
      <w:rPr>
        <w:rFonts w:ascii="Verdana" w:hAnsi="Verdana"/>
        <w:i/>
        <w:color w:val="0563C1"/>
        <w:sz w:val="16"/>
      </w:rPr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 </w:t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 w:cs="Calibri"/>
        <w:i/>
        <w:sz w:val="16"/>
        <w:szCs w:val="16"/>
      </w:rPr>
      <w:t>[</w:t>
    </w:r>
    <w:r w:rsidR="00CC1BD4">
      <w:rPr>
        <w:rFonts w:ascii="Verdana" w:hAnsi="Verdana" w:cs="Calibri"/>
        <w:i/>
        <w:sz w:val="16"/>
        <w:szCs w:val="16"/>
      </w:rPr>
      <w:t xml:space="preserve">Août </w:t>
    </w:r>
    <w:r>
      <w:rPr>
        <w:rFonts w:ascii="Verdana" w:hAnsi="Verdana" w:cs="Calibri"/>
        <w:i/>
        <w:sz w:val="16"/>
        <w:szCs w:val="16"/>
      </w:rPr>
      <w:t>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      </w:t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  <w:t xml:space="preserve">            </w:t>
    </w:r>
    <w:r w:rsidRPr="007D2187">
      <w:rPr>
        <w:rFonts w:ascii="Verdana" w:hAnsi="Verdana" w:cs="Calibri"/>
        <w:i/>
        <w:sz w:val="16"/>
        <w:szCs w:val="16"/>
      </w:rPr>
      <w:t xml:space="preserve">Page </w:t>
    </w:r>
    <w:r w:rsidRPr="007D2187">
      <w:rPr>
        <w:rFonts w:ascii="Verdana" w:hAnsi="Verdana" w:cs="Calibri"/>
        <w:i/>
        <w:sz w:val="16"/>
        <w:szCs w:val="16"/>
      </w:rPr>
      <w:fldChar w:fldCharType="begin"/>
    </w:r>
    <w:r w:rsidRPr="007D2187">
      <w:rPr>
        <w:rFonts w:ascii="Verdana" w:hAnsi="Verdana" w:cs="Calibri"/>
        <w:i/>
        <w:sz w:val="16"/>
        <w:szCs w:val="16"/>
      </w:rPr>
      <w:instrText>PAGE</w:instrText>
    </w:r>
    <w:r w:rsidRPr="007D2187">
      <w:rPr>
        <w:rFonts w:ascii="Verdana" w:hAnsi="Verdana" w:cs="Calibri"/>
        <w:i/>
        <w:sz w:val="16"/>
        <w:szCs w:val="16"/>
      </w:rPr>
      <w:fldChar w:fldCharType="separate"/>
    </w:r>
    <w:r w:rsidR="0053127D">
      <w:rPr>
        <w:rFonts w:ascii="Verdana" w:hAnsi="Verdana" w:cs="Calibri"/>
        <w:i/>
        <w:noProof/>
        <w:sz w:val="16"/>
        <w:szCs w:val="16"/>
      </w:rPr>
      <w:t>3</w:t>
    </w:r>
    <w:r w:rsidRPr="007D2187">
      <w:rPr>
        <w:rFonts w:ascii="Verdana" w:hAnsi="Verdana" w:cs="Calibri"/>
        <w:i/>
        <w:sz w:val="16"/>
        <w:szCs w:val="16"/>
      </w:rPr>
      <w:fldChar w:fldCharType="end"/>
    </w:r>
    <w:r w:rsidRPr="007D2187">
      <w:rPr>
        <w:rFonts w:ascii="Verdana" w:hAnsi="Verdana" w:cs="Calibri"/>
        <w:i/>
        <w:sz w:val="16"/>
        <w:szCs w:val="16"/>
      </w:rPr>
      <w:t xml:space="preserve"> sur </w:t>
    </w:r>
    <w:r w:rsidRPr="007D2187">
      <w:rPr>
        <w:rFonts w:ascii="Verdana" w:hAnsi="Verdana" w:cs="Calibri"/>
        <w:i/>
        <w:sz w:val="16"/>
        <w:szCs w:val="16"/>
      </w:rPr>
      <w:fldChar w:fldCharType="begin"/>
    </w:r>
    <w:r w:rsidRPr="007D2187">
      <w:rPr>
        <w:rFonts w:ascii="Verdana" w:hAnsi="Verdana" w:cs="Calibri"/>
        <w:i/>
        <w:sz w:val="16"/>
        <w:szCs w:val="16"/>
      </w:rPr>
      <w:instrText>NUMPAGES</w:instrText>
    </w:r>
    <w:r w:rsidRPr="007D2187">
      <w:rPr>
        <w:rFonts w:ascii="Verdana" w:hAnsi="Verdana" w:cs="Calibri"/>
        <w:i/>
        <w:sz w:val="16"/>
        <w:szCs w:val="16"/>
      </w:rPr>
      <w:fldChar w:fldCharType="separate"/>
    </w:r>
    <w:r w:rsidR="0053127D">
      <w:rPr>
        <w:rFonts w:ascii="Verdana" w:hAnsi="Verdana" w:cs="Calibri"/>
        <w:i/>
        <w:noProof/>
        <w:sz w:val="16"/>
        <w:szCs w:val="16"/>
      </w:rPr>
      <w:t>4</w:t>
    </w:r>
    <w:r w:rsidRPr="007D2187">
      <w:rPr>
        <w:rFonts w:ascii="Verdana" w:hAnsi="Verdana" w:cs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A3381" w14:textId="48829833" w:rsidR="00C05D98" w:rsidRDefault="00C05D98" w:rsidP="00C05D98">
    <w:pPr>
      <w:pStyle w:val="Pieddepage"/>
      <w:ind w:left="-426" w:right="-568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 </w:t>
    </w:r>
    <w:r>
      <w:rPr>
        <w:rFonts w:ascii="Verdana" w:hAnsi="Verdana" w:cs="Calibri"/>
        <w:i/>
        <w:sz w:val="16"/>
        <w:szCs w:val="16"/>
      </w:rPr>
      <w:t>[Juin 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2D4B4" w14:textId="77777777" w:rsidR="005D70D8" w:rsidRDefault="005D70D8" w:rsidP="00D96AD7">
      <w:pPr>
        <w:spacing w:after="0" w:line="240" w:lineRule="auto"/>
      </w:pPr>
      <w:r>
        <w:separator/>
      </w:r>
    </w:p>
  </w:footnote>
  <w:footnote w:type="continuationSeparator" w:id="0">
    <w:p w14:paraId="2F51DADE" w14:textId="77777777" w:rsidR="005D70D8" w:rsidRDefault="005D70D8" w:rsidP="00D9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5B00" w14:textId="053A5AD6" w:rsidR="008B392D" w:rsidRDefault="00BB431B">
    <w:pPr>
      <w:pStyle w:val="En-tte"/>
    </w:pPr>
    <w:r w:rsidRPr="008B392D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2F4B9396" wp14:editId="54D323FB">
          <wp:simplePos x="0" y="0"/>
          <wp:positionH relativeFrom="margin">
            <wp:posOffset>7029726</wp:posOffset>
          </wp:positionH>
          <wp:positionV relativeFrom="paragraph">
            <wp:posOffset>-227594</wp:posOffset>
          </wp:positionV>
          <wp:extent cx="1688465" cy="630555"/>
          <wp:effectExtent l="0" t="0" r="6985" b="0"/>
          <wp:wrapNone/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92D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0EEA5F2" wp14:editId="2ABB8801">
          <wp:simplePos x="0" y="0"/>
          <wp:positionH relativeFrom="margin">
            <wp:posOffset>-507701</wp:posOffset>
          </wp:positionH>
          <wp:positionV relativeFrom="paragraph">
            <wp:posOffset>-315595</wp:posOffset>
          </wp:positionV>
          <wp:extent cx="1041400" cy="758190"/>
          <wp:effectExtent l="0" t="0" r="6350" b="3810"/>
          <wp:wrapNone/>
          <wp:docPr id="66" name="Ima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6027" w14:textId="0CF66677" w:rsidR="00C05D98" w:rsidRDefault="00C05D98">
    <w:pPr>
      <w:pStyle w:val="En-tte"/>
    </w:pPr>
    <w:r w:rsidRPr="00C05D98"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1CC72EF7" wp14:editId="6A9C7CF8">
          <wp:simplePos x="0" y="0"/>
          <wp:positionH relativeFrom="margin">
            <wp:posOffset>4245226</wp:posOffset>
          </wp:positionH>
          <wp:positionV relativeFrom="paragraph">
            <wp:posOffset>-204506</wp:posOffset>
          </wp:positionV>
          <wp:extent cx="1688465" cy="630555"/>
          <wp:effectExtent l="0" t="0" r="698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5D98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4172E29A" wp14:editId="453804F7">
          <wp:simplePos x="0" y="0"/>
          <wp:positionH relativeFrom="margin">
            <wp:posOffset>-526211</wp:posOffset>
          </wp:positionH>
          <wp:positionV relativeFrom="paragraph">
            <wp:posOffset>-301925</wp:posOffset>
          </wp:positionV>
          <wp:extent cx="1041400" cy="758190"/>
          <wp:effectExtent l="0" t="0" r="6350" b="381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EF6E33"/>
    <w:multiLevelType w:val="hybridMultilevel"/>
    <w:tmpl w:val="884EA762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182157F5"/>
    <w:multiLevelType w:val="multilevel"/>
    <w:tmpl w:val="7B32A0F8"/>
    <w:lvl w:ilvl="0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b/>
        <w:i w:val="0"/>
        <w:sz w:val="20"/>
        <w:u w:val="none"/>
      </w:rPr>
    </w:lvl>
    <w:lvl w:ilvl="1">
      <w:start w:val="1"/>
      <w:numFmt w:val="decimal"/>
      <w:lvlText w:val="%1. %2 "/>
      <w:lvlJc w:val="left"/>
      <w:pPr>
        <w:ind w:left="720" w:hanging="360"/>
      </w:pPr>
      <w:rPr>
        <w:rFonts w:ascii="Century Gothic" w:hAnsi="Century Gothic" w:hint="default"/>
        <w:b/>
        <w:i w:val="0"/>
        <w:sz w:val="22"/>
        <w:u w:val="sing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A83B38"/>
    <w:multiLevelType w:val="hybridMultilevel"/>
    <w:tmpl w:val="297E1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54B8C"/>
    <w:multiLevelType w:val="hybridMultilevel"/>
    <w:tmpl w:val="0F50B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B3EB3"/>
    <w:multiLevelType w:val="hybridMultilevel"/>
    <w:tmpl w:val="33826E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0825"/>
    <w:multiLevelType w:val="hybridMultilevel"/>
    <w:tmpl w:val="FF3EB7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52A97"/>
    <w:multiLevelType w:val="multilevel"/>
    <w:tmpl w:val="7B32A0F8"/>
    <w:lvl w:ilvl="0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b/>
        <w:i w:val="0"/>
        <w:sz w:val="20"/>
        <w:u w:val="none"/>
      </w:rPr>
    </w:lvl>
    <w:lvl w:ilvl="1">
      <w:start w:val="1"/>
      <w:numFmt w:val="decimal"/>
      <w:lvlText w:val="%1. %2 "/>
      <w:lvlJc w:val="left"/>
      <w:pPr>
        <w:ind w:left="720" w:hanging="360"/>
      </w:pPr>
      <w:rPr>
        <w:rFonts w:ascii="Century Gothic" w:hAnsi="Century Gothic" w:hint="default"/>
        <w:b/>
        <w:i w:val="0"/>
        <w:sz w:val="22"/>
        <w:u w:val="sing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FE17B9"/>
    <w:multiLevelType w:val="hybridMultilevel"/>
    <w:tmpl w:val="456CB2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7032A"/>
    <w:multiLevelType w:val="hybridMultilevel"/>
    <w:tmpl w:val="5B7ADCDE"/>
    <w:lvl w:ilvl="0" w:tplc="040C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6"/>
  </w:num>
  <w:num w:numId="12">
    <w:abstractNumId w:val="17"/>
  </w:num>
  <w:num w:numId="13">
    <w:abstractNumId w:val="12"/>
  </w:num>
  <w:num w:numId="14">
    <w:abstractNumId w:val="10"/>
  </w:num>
  <w:num w:numId="15">
    <w:abstractNumId w:val="11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8AA"/>
    <w:rsid w:val="000129B3"/>
    <w:rsid w:val="00030143"/>
    <w:rsid w:val="00032FA7"/>
    <w:rsid w:val="00034616"/>
    <w:rsid w:val="0006063C"/>
    <w:rsid w:val="00117564"/>
    <w:rsid w:val="0012307B"/>
    <w:rsid w:val="0015074B"/>
    <w:rsid w:val="00164C6D"/>
    <w:rsid w:val="0019577D"/>
    <w:rsid w:val="002207A3"/>
    <w:rsid w:val="0029639D"/>
    <w:rsid w:val="00326F90"/>
    <w:rsid w:val="004445DC"/>
    <w:rsid w:val="004873FE"/>
    <w:rsid w:val="004D14E6"/>
    <w:rsid w:val="0053127D"/>
    <w:rsid w:val="005A7457"/>
    <w:rsid w:val="005D70D8"/>
    <w:rsid w:val="005E7722"/>
    <w:rsid w:val="0064220B"/>
    <w:rsid w:val="00681BDE"/>
    <w:rsid w:val="006B7B07"/>
    <w:rsid w:val="006D09B9"/>
    <w:rsid w:val="006F44BF"/>
    <w:rsid w:val="00736B6C"/>
    <w:rsid w:val="007B2ECB"/>
    <w:rsid w:val="007F4293"/>
    <w:rsid w:val="00806814"/>
    <w:rsid w:val="00876807"/>
    <w:rsid w:val="008B392D"/>
    <w:rsid w:val="008C3043"/>
    <w:rsid w:val="008C7BD4"/>
    <w:rsid w:val="00942ED4"/>
    <w:rsid w:val="009524C6"/>
    <w:rsid w:val="009C72CB"/>
    <w:rsid w:val="009E73DA"/>
    <w:rsid w:val="00A338A7"/>
    <w:rsid w:val="00A64285"/>
    <w:rsid w:val="00A776B7"/>
    <w:rsid w:val="00A77C27"/>
    <w:rsid w:val="00AA1D8D"/>
    <w:rsid w:val="00B1776D"/>
    <w:rsid w:val="00B4398A"/>
    <w:rsid w:val="00B47730"/>
    <w:rsid w:val="00B6287C"/>
    <w:rsid w:val="00BB431B"/>
    <w:rsid w:val="00C05D98"/>
    <w:rsid w:val="00CB0664"/>
    <w:rsid w:val="00CC1BD4"/>
    <w:rsid w:val="00D0186B"/>
    <w:rsid w:val="00D0595F"/>
    <w:rsid w:val="00D60AC2"/>
    <w:rsid w:val="00D8620B"/>
    <w:rsid w:val="00D96AD7"/>
    <w:rsid w:val="00DA1936"/>
    <w:rsid w:val="00E10232"/>
    <w:rsid w:val="00E46498"/>
    <w:rsid w:val="00E63085"/>
    <w:rsid w:val="00E72173"/>
    <w:rsid w:val="00E81C70"/>
    <w:rsid w:val="00EB37A0"/>
    <w:rsid w:val="00F27FC3"/>
    <w:rsid w:val="00F603CB"/>
    <w:rsid w:val="00F709F1"/>
    <w:rsid w:val="00FC12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6F89A15"/>
  <w14:defaultImageDpi w14:val="330"/>
  <w15:docId w15:val="{595F6C1B-D33D-4722-8B49-3E94E5CE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1B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glossary-def">
    <w:name w:val="glossary-def"/>
    <w:basedOn w:val="Policepardfaut"/>
    <w:rsid w:val="00806814"/>
  </w:style>
  <w:style w:type="character" w:styleId="Marquedecommentaire">
    <w:name w:val="annotation reference"/>
    <w:basedOn w:val="Policepardfaut"/>
    <w:uiPriority w:val="99"/>
    <w:semiHidden/>
    <w:unhideWhenUsed/>
    <w:rsid w:val="008068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68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68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68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681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814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7217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AD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AD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AD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0186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0186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0186B"/>
    <w:rPr>
      <w:vertAlign w:val="superscript"/>
    </w:rPr>
  </w:style>
  <w:style w:type="character" w:styleId="Lienhypertexte">
    <w:name w:val="Hyperlink"/>
    <w:basedOn w:val="Policepardfaut"/>
    <w:unhideWhenUsed/>
    <w:rsid w:val="0087680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175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f2h.net/publications/surveiller-et-prevenir-les-infections-associees-aux-soi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nte.gouv.fr/prevention-en-sante/preserver-sa-sante/vaccination/calendrier-vaccin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vaccination-info-service.fr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esvaccins.ne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AE322E-738F-48FD-A717-F14ED6E5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SANLAVILLE, Nathalie</cp:lastModifiedBy>
  <cp:revision>2</cp:revision>
  <cp:lastPrinted>2025-05-30T10:32:00Z</cp:lastPrinted>
  <dcterms:created xsi:type="dcterms:W3CDTF">2025-08-07T09:56:00Z</dcterms:created>
  <dcterms:modified xsi:type="dcterms:W3CDTF">2025-08-07T09:56:00Z</dcterms:modified>
  <cp:category/>
</cp:coreProperties>
</file>